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bCs/>
          <w:color w:val="auto"/>
          <w:sz w:val="72"/>
          <w:szCs w:val="72"/>
        </w:rPr>
      </w:pPr>
    </w:p>
    <w:p>
      <w:pPr>
        <w:spacing w:line="360" w:lineRule="auto"/>
        <w:jc w:val="center"/>
        <w:rPr>
          <w:rFonts w:hint="eastAsia" w:asciiTheme="minorEastAsia" w:hAnsiTheme="minorEastAsia" w:eastAsiaTheme="minorEastAsia" w:cstheme="minorEastAsia"/>
          <w:b/>
          <w:bCs/>
          <w:color w:val="auto"/>
          <w:sz w:val="72"/>
          <w:szCs w:val="72"/>
        </w:rPr>
      </w:pPr>
    </w:p>
    <w:p>
      <w:pPr>
        <w:spacing w:line="360" w:lineRule="auto"/>
        <w:jc w:val="center"/>
        <w:rPr>
          <w:rFonts w:hint="eastAsia" w:asciiTheme="minorEastAsia" w:hAnsiTheme="minorEastAsia" w:eastAsiaTheme="minorEastAsia" w:cstheme="minorEastAsia"/>
          <w:b/>
          <w:bCs/>
          <w:color w:val="auto"/>
          <w:sz w:val="72"/>
          <w:szCs w:val="72"/>
        </w:rPr>
      </w:pPr>
    </w:p>
    <w:p>
      <w:pPr>
        <w:spacing w:line="360" w:lineRule="auto"/>
        <w:jc w:val="center"/>
        <w:rPr>
          <w:rFonts w:hint="eastAsia" w:asciiTheme="minorEastAsia" w:hAnsiTheme="minorEastAsia" w:eastAsiaTheme="minorEastAsia" w:cstheme="minorEastAsia"/>
          <w:b/>
          <w:bCs/>
          <w:color w:val="auto"/>
          <w:sz w:val="72"/>
          <w:szCs w:val="72"/>
        </w:rPr>
      </w:pPr>
      <w:r>
        <w:rPr>
          <w:rFonts w:hint="eastAsia" w:asciiTheme="minorEastAsia" w:hAnsiTheme="minorEastAsia" w:eastAsiaTheme="minorEastAsia" w:cstheme="minorEastAsia"/>
          <w:b/>
          <w:bCs/>
          <w:color w:val="auto"/>
          <w:sz w:val="72"/>
          <w:szCs w:val="72"/>
        </w:rPr>
        <w:t>使用错误评估报告</w:t>
      </w:r>
    </w:p>
    <w:p>
      <w:pPr>
        <w:spacing w:line="360" w:lineRule="auto"/>
        <w:jc w:val="center"/>
        <w:rPr>
          <w:rFonts w:hint="eastAsia" w:asciiTheme="minorEastAsia" w:hAnsiTheme="minorEastAsia" w:eastAsiaTheme="minorEastAsia" w:cstheme="minorEastAsia"/>
          <w:b/>
          <w:bCs/>
          <w:color w:val="auto"/>
          <w:sz w:val="36"/>
          <w:szCs w:val="36"/>
        </w:rPr>
      </w:pPr>
    </w:p>
    <w:p>
      <w:pPr>
        <w:spacing w:line="360" w:lineRule="auto"/>
        <w:ind w:left="1680" w:leftChars="800"/>
        <w:rPr>
          <w:rFonts w:hint="eastAsia"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项    目：</w:t>
      </w:r>
      <w:r>
        <w:rPr>
          <w:rFonts w:hint="eastAsia" w:asciiTheme="minorEastAsia" w:hAnsiTheme="minorEastAsia" w:cstheme="minorEastAsia"/>
          <w:b/>
          <w:bCs/>
          <w:color w:val="auto"/>
          <w:sz w:val="36"/>
          <w:szCs w:val="36"/>
          <w:lang w:val="en-US" w:eastAsia="zh-CN"/>
        </w:rPr>
        <w:t>血糖仪</w:t>
      </w:r>
      <w:r>
        <w:rPr>
          <w:rFonts w:hint="eastAsia" w:asciiTheme="minorEastAsia" w:hAnsiTheme="minorEastAsia" w:eastAsiaTheme="minorEastAsia" w:cstheme="minorEastAsia"/>
          <w:b/>
          <w:bCs/>
          <w:color w:val="auto"/>
          <w:sz w:val="36"/>
          <w:szCs w:val="36"/>
        </w:rPr>
        <w:t xml:space="preserve"> </w:t>
      </w:r>
    </w:p>
    <w:p>
      <w:pPr>
        <w:spacing w:line="360" w:lineRule="auto"/>
        <w:ind w:left="1680" w:leftChars="800"/>
        <w:rPr>
          <w:rFonts w:hint="eastAsia"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文件编号：</w:t>
      </w:r>
    </w:p>
    <w:p>
      <w:pPr>
        <w:spacing w:line="360" w:lineRule="auto"/>
        <w:rPr>
          <w:rFonts w:hint="eastAsia" w:asciiTheme="minorEastAsia" w:hAnsiTheme="minorEastAsia" w:eastAsiaTheme="minorEastAsia" w:cstheme="minorEastAsia"/>
          <w:b/>
          <w:bCs/>
          <w:color w:val="auto"/>
          <w:sz w:val="36"/>
          <w:szCs w:val="36"/>
        </w:rPr>
      </w:pPr>
    </w:p>
    <w:p>
      <w:pPr>
        <w:spacing w:line="360" w:lineRule="auto"/>
        <w:rPr>
          <w:rFonts w:hint="eastAsia" w:asciiTheme="minorEastAsia" w:hAnsiTheme="minorEastAsia" w:eastAsiaTheme="minorEastAsia" w:cstheme="minorEastAsia"/>
          <w:b/>
          <w:bCs/>
          <w:color w:val="auto"/>
          <w:sz w:val="36"/>
          <w:szCs w:val="36"/>
        </w:rPr>
      </w:pPr>
    </w:p>
    <w:p>
      <w:pPr>
        <w:spacing w:line="360" w:lineRule="auto"/>
        <w:rPr>
          <w:rFonts w:hint="eastAsia" w:asciiTheme="minorEastAsia" w:hAnsiTheme="minorEastAsia" w:eastAsiaTheme="minorEastAsia" w:cstheme="minorEastAsia"/>
          <w:b/>
          <w:bCs/>
          <w:color w:val="auto"/>
          <w:sz w:val="36"/>
          <w:szCs w:val="36"/>
        </w:rPr>
      </w:pPr>
    </w:p>
    <w:p>
      <w:pPr>
        <w:spacing w:line="360" w:lineRule="auto"/>
        <w:ind w:left="1050" w:leftChars="500"/>
        <w:rPr>
          <w:rFonts w:hint="eastAsia"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编  制/日  期：</w:t>
      </w:r>
    </w:p>
    <w:p>
      <w:pPr>
        <w:spacing w:line="360" w:lineRule="auto"/>
        <w:ind w:left="1050" w:leftChars="500"/>
        <w:rPr>
          <w:rFonts w:hint="eastAsia"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审  核/日  期：</w:t>
      </w:r>
    </w:p>
    <w:p>
      <w:pPr>
        <w:spacing w:line="360" w:lineRule="auto"/>
        <w:ind w:left="1050" w:leftChars="500"/>
        <w:rPr>
          <w:rFonts w:hint="eastAsia" w:asciiTheme="minorEastAsia" w:hAnsiTheme="minorEastAsia" w:eastAsiaTheme="minorEastAsia" w:cstheme="minorEastAsia"/>
          <w:b/>
          <w:bCs/>
          <w:color w:val="auto"/>
          <w:sz w:val="36"/>
          <w:szCs w:val="36"/>
        </w:rPr>
      </w:pPr>
      <w:r>
        <w:rPr>
          <w:rFonts w:hint="eastAsia" w:asciiTheme="minorEastAsia" w:hAnsiTheme="minorEastAsia" w:eastAsiaTheme="minorEastAsia" w:cstheme="minorEastAsia"/>
          <w:b/>
          <w:bCs/>
          <w:color w:val="auto"/>
          <w:sz w:val="36"/>
          <w:szCs w:val="36"/>
        </w:rPr>
        <w:t>批  准/日  期：</w:t>
      </w:r>
    </w:p>
    <w:p>
      <w:pPr>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br w:type="page"/>
      </w:r>
    </w:p>
    <w:sdt>
      <w:sdtPr>
        <w:rPr>
          <w:rFonts w:hint="eastAsia" w:asciiTheme="minorEastAsia" w:hAnsiTheme="minorEastAsia" w:eastAsiaTheme="minorEastAsia" w:cstheme="minorEastAsia"/>
          <w:color w:val="auto"/>
          <w:kern w:val="2"/>
          <w:sz w:val="21"/>
          <w:szCs w:val="22"/>
          <w:lang w:val="zh-CN"/>
        </w:rPr>
        <w:id w:val="970555198"/>
        <w:docPartObj>
          <w:docPartGallery w:val="Table of Contents"/>
          <w:docPartUnique/>
        </w:docPartObj>
      </w:sdtPr>
      <w:sdtEndPr>
        <w:rPr>
          <w:rFonts w:hint="eastAsia" w:asciiTheme="minorEastAsia" w:hAnsiTheme="minorEastAsia" w:eastAsiaTheme="minorEastAsia" w:cstheme="minorEastAsia"/>
          <w:b/>
          <w:bCs/>
          <w:color w:val="auto"/>
          <w:kern w:val="2"/>
          <w:sz w:val="21"/>
          <w:szCs w:val="22"/>
          <w:lang w:val="zh-CN"/>
        </w:rPr>
      </w:sdtEndPr>
      <w:sdtContent>
        <w:p>
          <w:pPr>
            <w:pStyle w:val="14"/>
            <w:spacing w:line="360"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zh-CN"/>
            </w:rPr>
            <w:t>目录</w:t>
          </w:r>
        </w:p>
        <w:p>
          <w:pPr>
            <w:pStyle w:val="7"/>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TOC \o "1-3" \h \z \u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HYPERLINK \l _Toc10957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1. 基本信息</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_Toc10957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color w:val="auto"/>
            </w:rPr>
            <w:fldChar w:fldCharType="end"/>
          </w:r>
        </w:p>
        <w:p>
          <w:pPr>
            <w:pStyle w:val="7"/>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_Toc12066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2. 使用风险级别</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_Toc12066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7"/>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_Toc11558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3. 核心要素</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_Toc11558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8"/>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_Toc21438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3.1 用户/用户组：</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_Toc21438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8"/>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_Toc30976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3.2 使用场景/操作任务：</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_Toc30976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8"/>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_Toc3402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3.3 用户界面：</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_Toc3402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8"/>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_Toc5800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3.4 型号规格划分说明：</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_Toc5800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7"/>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_Toc28815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4. 同类医疗器械上市后使用问题分析</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_Toc28815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7"/>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_Toc26310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5. 使用风险管理</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_Toc26310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6</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pStyle w:val="7"/>
            <w:tabs>
              <w:tab w:val="right" w:leader="dot" w:pos="8306"/>
            </w:tabs>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begin"/>
          </w:r>
          <w:r>
            <w:rPr>
              <w:rFonts w:hint="eastAsia" w:asciiTheme="minorEastAsia" w:hAnsiTheme="minorEastAsia" w:eastAsiaTheme="minorEastAsia" w:cstheme="minorEastAsia"/>
              <w:bCs/>
              <w:color w:val="auto"/>
              <w:lang w:val="zh-CN"/>
            </w:rPr>
            <w:instrText xml:space="preserve"> HYPERLINK \l _Toc1672 </w:instrText>
          </w:r>
          <w:r>
            <w:rPr>
              <w:rFonts w:hint="eastAsia" w:asciiTheme="minorEastAsia" w:hAnsiTheme="minorEastAsia" w:eastAsiaTheme="minorEastAsia" w:cstheme="minorEastAsia"/>
              <w:bCs/>
              <w:color w:val="auto"/>
              <w:lang w:val="zh-CN"/>
            </w:rPr>
            <w:fldChar w:fldCharType="separate"/>
          </w:r>
          <w:r>
            <w:rPr>
              <w:rFonts w:hint="eastAsia" w:asciiTheme="minorEastAsia" w:hAnsiTheme="minorEastAsia" w:eastAsiaTheme="minorEastAsia" w:cstheme="minorEastAsia"/>
              <w:color w:val="auto"/>
            </w:rPr>
            <w:t>6. 结论</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PAGEREF _Toc1672 \h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6</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bCs/>
              <w:color w:val="auto"/>
              <w:lang w:val="zh-CN"/>
            </w:rPr>
            <w:fldChar w:fldCharType="end"/>
          </w:r>
        </w:p>
        <w:p>
          <w:pPr>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Cs/>
              <w:color w:val="auto"/>
              <w:lang w:val="zh-CN"/>
            </w:rPr>
            <w:fldChar w:fldCharType="end"/>
          </w:r>
        </w:p>
      </w:sdtContent>
    </w:sdt>
    <w:p>
      <w:pPr>
        <w:widowControl/>
        <w:tabs>
          <w:tab w:val="left" w:pos="2438"/>
        </w:tabs>
        <w:spacing w:line="360" w:lineRule="auto"/>
        <w:ind w:firstLine="420" w:firstLineChars="200"/>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ab/>
      </w:r>
    </w:p>
    <w:p>
      <w:pPr>
        <w:spacing w:line="360" w:lineRule="auto"/>
        <w:rPr>
          <w:rFonts w:hint="eastAsia" w:asciiTheme="minorEastAsia" w:hAnsiTheme="minorEastAsia" w:eastAsiaTheme="minorEastAsia" w:cstheme="minorEastAsia"/>
          <w:color w:val="auto"/>
        </w:rPr>
      </w:pPr>
    </w:p>
    <w:p>
      <w:pPr>
        <w:spacing w:line="360" w:lineRule="auto"/>
        <w:rPr>
          <w:rFonts w:hint="eastAsia" w:asciiTheme="minorEastAsia" w:hAnsiTheme="minorEastAsia" w:eastAsiaTheme="minorEastAsia" w:cstheme="minorEastAsia"/>
          <w:color w:val="auto"/>
        </w:rPr>
        <w:sectPr>
          <w:footerReference r:id="rId3" w:type="default"/>
          <w:pgSz w:w="11906" w:h="16838"/>
          <w:pgMar w:top="1440" w:right="1800" w:bottom="1440" w:left="1800" w:header="851" w:footer="992" w:gutter="0"/>
          <w:cols w:space="425" w:num="1"/>
          <w:titlePg/>
          <w:docGrid w:type="lines" w:linePitch="312" w:charSpace="0"/>
        </w:sectPr>
      </w:pPr>
    </w:p>
    <w:p>
      <w:pPr>
        <w:pStyle w:val="9"/>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使用错误评估报告</w:t>
      </w:r>
    </w:p>
    <w:p>
      <w:pPr>
        <w:pStyle w:val="2"/>
        <w:numPr>
          <w:ilvl w:val="0"/>
          <w:numId w:val="1"/>
        </w:numPr>
        <w:spacing w:line="360" w:lineRule="auto"/>
        <w:rPr>
          <w:rFonts w:hint="eastAsia" w:asciiTheme="minorEastAsia" w:hAnsiTheme="minorEastAsia" w:eastAsiaTheme="minorEastAsia" w:cstheme="minorEastAsia"/>
          <w:color w:val="auto"/>
        </w:rPr>
      </w:pPr>
      <w:bookmarkStart w:id="0" w:name="_Toc10957"/>
      <w:r>
        <w:rPr>
          <w:rFonts w:hint="eastAsia" w:asciiTheme="minorEastAsia" w:hAnsiTheme="minorEastAsia" w:eastAsiaTheme="minorEastAsia" w:cstheme="minorEastAsia"/>
          <w:color w:val="auto"/>
        </w:rPr>
        <w:t>基本信息</w:t>
      </w:r>
      <w:bookmarkEnd w:id="0"/>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名称：</w:t>
      </w:r>
      <w:r>
        <w:rPr>
          <w:rFonts w:hint="eastAsia" w:asciiTheme="minorEastAsia" w:hAnsiTheme="minorEastAsia" w:eastAsiaTheme="minorEastAsia" w:cstheme="minorEastAsia"/>
          <w:color w:val="auto"/>
          <w:lang w:val="en-US" w:eastAsia="zh-CN"/>
        </w:rPr>
        <w:t>血糖仪</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型号规格：</w:t>
      </w:r>
      <w:r>
        <w:rPr>
          <w:rFonts w:hint="eastAsia" w:asciiTheme="minorEastAsia" w:hAnsiTheme="minorEastAsia" w:eastAsiaTheme="minorEastAsia" w:cstheme="minorEastAsia"/>
          <w:color w:val="auto"/>
          <w:lang w:val="en-US" w:eastAsia="zh-CN"/>
        </w:rPr>
        <w:t>GM-1</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预期用途：</w:t>
      </w:r>
      <w:r>
        <w:rPr>
          <w:rFonts w:hint="eastAsia" w:asciiTheme="minorEastAsia" w:hAnsiTheme="minorEastAsia" w:eastAsiaTheme="minorEastAsia" w:cstheme="minorEastAsia"/>
          <w:color w:val="auto"/>
          <w:lang w:val="en-US" w:eastAsia="zh-CN"/>
        </w:rPr>
        <w:t>与A公司生产的血糖试纸（葡萄糖氧化酶法）配合使用，用于体外定量检测人新鲜毛细管全血中的葡萄糖浓度。</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适用人群：患有1型或2型糖尿病的青少年（13-21岁）和成人（22岁及以上）。出现高血糖（高血糖水平）和低血糖（低血糖水平）症状但尚未确诊为糖尿病的患者也可使用血糖仪。</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结构组成：</w:t>
      </w:r>
      <w:r>
        <w:rPr>
          <w:rFonts w:hint="eastAsia" w:asciiTheme="minorEastAsia" w:hAnsiTheme="minorEastAsia" w:eastAsiaTheme="minorEastAsia" w:cstheme="minorEastAsia"/>
          <w:color w:val="auto"/>
          <w:lang w:val="en-US" w:eastAsia="zh-CN"/>
        </w:rPr>
        <w:t>由液晶模块、检测和控制模块和软件（1）组成。</w:t>
      </w:r>
    </w:p>
    <w:p>
      <w:pPr>
        <w:pStyle w:val="2"/>
        <w:numPr>
          <w:ilvl w:val="0"/>
          <w:numId w:val="1"/>
        </w:numPr>
        <w:spacing w:line="360" w:lineRule="auto"/>
        <w:rPr>
          <w:rFonts w:hint="eastAsia" w:asciiTheme="minorEastAsia" w:hAnsiTheme="minorEastAsia" w:eastAsiaTheme="minorEastAsia" w:cstheme="minorEastAsia"/>
          <w:color w:val="auto"/>
        </w:rPr>
      </w:pPr>
      <w:bookmarkStart w:id="1" w:name="_Toc12066"/>
      <w:r>
        <w:rPr>
          <w:rFonts w:hint="eastAsia" w:asciiTheme="minorEastAsia" w:hAnsiTheme="minorEastAsia" w:eastAsiaTheme="minorEastAsia" w:cstheme="minorEastAsia"/>
          <w:color w:val="auto"/>
        </w:rPr>
        <w:t>使用风险级别</w:t>
      </w:r>
      <w:bookmarkEnd w:id="1"/>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明确申报医疗器械的使用风险级别（高、中、低），并详述判定理由。</w:t>
      </w:r>
    </w:p>
    <w:p>
      <w:pPr>
        <w:pStyle w:val="3"/>
        <w:spacing w:line="360" w:lineRule="auto"/>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高</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错误使用可能导致严重伤害或死亡</w:t>
      </w:r>
      <w:r>
        <w:rPr>
          <w:rFonts w:hint="eastAsia" w:asciiTheme="minorEastAsia" w:hAnsiTheme="minorEastAsia" w:eastAsiaTheme="minorEastAsia" w:cstheme="minorEastAsia"/>
          <w:color w:val="auto"/>
          <w:lang w:eastAsia="zh-CN"/>
        </w:rPr>
        <w:t>；</w:t>
      </w:r>
    </w:p>
    <w:p>
      <w:pPr>
        <w:pStyle w:val="3"/>
        <w:spacing w:line="360" w:lineRule="auto"/>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val="en-US" w:eastAsia="zh-CN"/>
        </w:rPr>
        <w:t>中：错误使用</w:t>
      </w:r>
      <w:r>
        <w:rPr>
          <w:rFonts w:hint="eastAsia" w:asciiTheme="minorEastAsia" w:hAnsiTheme="minorEastAsia" w:eastAsiaTheme="minorEastAsia" w:cstheme="minorEastAsia"/>
          <w:color w:val="auto"/>
        </w:rPr>
        <w:t>可能导致轻微伤害</w:t>
      </w:r>
      <w:r>
        <w:rPr>
          <w:rFonts w:hint="eastAsia" w:asciiTheme="minorEastAsia" w:hAnsiTheme="minorEastAsia" w:eastAsiaTheme="minorEastAsia" w:cstheme="minorEastAsia"/>
          <w:color w:val="auto"/>
          <w:lang w:eastAsia="zh-CN"/>
        </w:rPr>
        <w:t>；</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低：错误使用</w:t>
      </w:r>
      <w:r>
        <w:rPr>
          <w:rFonts w:hint="eastAsia" w:asciiTheme="minorEastAsia" w:hAnsiTheme="minorEastAsia" w:eastAsiaTheme="minorEastAsia" w:cstheme="minorEastAsia"/>
          <w:color w:val="auto"/>
        </w:rPr>
        <w:t>不可能导致伤害。</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根据关键任务的定义，高使用风险医疗器械含有关键任务，中、低使用风险医疗器械不含关键任务。</w:t>
      </w:r>
    </w:p>
    <w:p>
      <w:pPr>
        <w:pStyle w:val="3"/>
        <w:numPr>
          <w:ilvl w:val="1"/>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使用风险等级：</w:t>
      </w:r>
      <w:r>
        <w:rPr>
          <w:rFonts w:hint="eastAsia" w:asciiTheme="minorEastAsia" w:hAnsiTheme="minorEastAsia" w:eastAsiaTheme="minorEastAsia" w:cstheme="minorEastAsia"/>
          <w:color w:val="auto"/>
          <w:lang w:val="en-US" w:eastAsia="zh-CN"/>
        </w:rPr>
        <w:t>中</w:t>
      </w:r>
    </w:p>
    <w:p>
      <w:pPr>
        <w:pStyle w:val="3"/>
        <w:numPr>
          <w:ilvl w:val="1"/>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使用风险等级判定理由：</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用户特征：</w:t>
      </w:r>
      <w:r>
        <w:rPr>
          <w:rFonts w:hint="eastAsia" w:asciiTheme="minorEastAsia" w:hAnsiTheme="minorEastAsia" w:eastAsiaTheme="minorEastAsia" w:cstheme="minorEastAsia"/>
          <w:color w:val="auto"/>
        </w:rPr>
        <w:t>患有1型或2型糖尿病的青少年（13-21岁）和成人（22岁及以上）。出现高血糖（高血糖水平）和低血糖（低血糖水平）症状但尚未确诊为糖尿病的患者也可使用血糖仪。</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预期用途：</w:t>
      </w:r>
      <w:r>
        <w:rPr>
          <w:rFonts w:hint="eastAsia" w:asciiTheme="minorEastAsia" w:hAnsiTheme="minorEastAsia" w:eastAsiaTheme="minorEastAsia" w:cstheme="minorEastAsia"/>
          <w:color w:val="auto"/>
          <w:lang w:val="en-US" w:eastAsia="zh-CN"/>
        </w:rPr>
        <w:t>与A公司生产的血糖试纸（葡萄糖氧化酶法）配合使用，用于体外定量检测人新鲜毛细管全血中的葡萄糖浓度。</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使用场景：</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使用环境：</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 xml:space="preserve">1）使用场所：    </w:t>
      </w:r>
    </w:p>
    <w:p>
      <w:pPr>
        <w:pStyle w:val="3"/>
        <w:spacing w:line="360" w:lineRule="auto"/>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非临床使用包括以下地点。</w:t>
      </w:r>
    </w:p>
    <w:p>
      <w:pPr>
        <w:pStyle w:val="3"/>
        <w:spacing w:line="360" w:lineRule="auto"/>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-住宅内的多个地点，包括厨房、浴室、客厅和卧室。</w:t>
      </w:r>
    </w:p>
    <w:p>
      <w:pPr>
        <w:pStyle w:val="3"/>
        <w:spacing w:line="360" w:lineRule="auto"/>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-公共场所，包括餐厅、商店、剧院和体育场馆。</w:t>
      </w:r>
    </w:p>
    <w:p>
      <w:pPr>
        <w:pStyle w:val="3"/>
        <w:spacing w:line="360" w:lineRule="auto"/>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-工作场所，从室内办公室到室外建筑工地。</w:t>
      </w:r>
    </w:p>
    <w:p>
      <w:pPr>
        <w:pStyle w:val="3"/>
        <w:spacing w:line="360" w:lineRule="auto"/>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-户外环境，包括个人房产、公园、露营地和荒野。</w:t>
      </w:r>
    </w:p>
    <w:p>
      <w:pPr>
        <w:pStyle w:val="3"/>
        <w:spacing w:line="360" w:lineRule="auto"/>
        <w:jc w:val="left"/>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临床使用环境可能是室内环境，如辅助生活中心的居民房间、学校护士办公室/医务室等。</w:t>
      </w:r>
    </w:p>
    <w:p>
      <w:pPr>
        <w:pStyle w:val="3"/>
        <w:numPr>
          <w:ilvl w:val="0"/>
          <w:numId w:val="2"/>
        </w:numPr>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环境条件：</w:t>
      </w:r>
    </w:p>
    <w:p>
      <w:pPr>
        <w:pStyle w:val="3"/>
        <w:numPr>
          <w:ilvl w:val="0"/>
          <w:numId w:val="0"/>
        </w:numPr>
        <w:spacing w:line="360" w:lineRule="auto"/>
        <w:jc w:val="both"/>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-环境温度为5°C-40°。</w:t>
      </w:r>
    </w:p>
    <w:p>
      <w:pPr>
        <w:pStyle w:val="3"/>
        <w:numPr>
          <w:ilvl w:val="0"/>
          <w:numId w:val="0"/>
        </w:numPr>
        <w:spacing w:line="360" w:lineRule="auto"/>
        <w:jc w:val="both"/>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-相对湿度为10%-80%，无冷凝，但不能浸水。</w:t>
      </w:r>
    </w:p>
    <w:p>
      <w:pPr>
        <w:pStyle w:val="3"/>
        <w:numPr>
          <w:ilvl w:val="0"/>
          <w:numId w:val="0"/>
        </w:numPr>
        <w:spacing w:line="360" w:lineRule="auto"/>
        <w:jc w:val="both"/>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-照明条件从强光（强光下高达10000 lx，但不是阳光直射，而是用考试灯照明）到弱光（黄昏和光线昏暗的房间中低至10 lx）。</w:t>
      </w:r>
    </w:p>
    <w:p>
      <w:pPr>
        <w:pStyle w:val="3"/>
        <w:numPr>
          <w:ilvl w:val="0"/>
          <w:numId w:val="0"/>
        </w:numPr>
        <w:spacing w:line="360" w:lineRule="auto"/>
        <w:jc w:val="both"/>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-有些嘈杂的环境（如餐厅、繁忙的办公室），持续的环境噪音可能高达75分贝。请注意，血糖仪不适用于持续环境噪音水平高于75分贝的嘈杂环境。</w:t>
      </w:r>
    </w:p>
    <w:p>
      <w:pPr>
        <w:pStyle w:val="3"/>
        <w:numPr>
          <w:ilvl w:val="0"/>
          <w:numId w:val="0"/>
        </w:numPr>
        <w:spacing w:line="360" w:lineRule="auto"/>
        <w:jc w:val="both"/>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-大气压700 hPa-1060 hPa，其中包括大风暴期间和山顶上可能出现的低压，以及与海平面以下某些位置相关的高压。</w:t>
      </w:r>
    </w:p>
    <w:p>
      <w:pPr>
        <w:pStyle w:val="3"/>
        <w:numPr>
          <w:ilvl w:val="0"/>
          <w:numId w:val="0"/>
        </w:numPr>
        <w:spacing w:line="360" w:lineRule="auto"/>
        <w:jc w:val="both"/>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-从1.5米高处以任何角度落下时。</w:t>
      </w:r>
    </w:p>
    <w:p>
      <w:pPr>
        <w:pStyle w:val="3"/>
        <w:numPr>
          <w:ilvl w:val="0"/>
          <w:numId w:val="0"/>
        </w:numPr>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 xml:space="preserve">    操作任务：</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核心功能分析：血糖仪的医疗用途是为用户提供少量血液样本中血糖浓度（又称血糖）的估计值。用户需要根据血糖水平读数采取后续行动，例如是决定摄入碳水化合物以提高血糖水平，还是注射胰岛素以降低血糖水平。因此，血糖仪可以帮助糖尿病患者控制病情，最好是使患者的血糖保持在健康的目标范围内（例如，非空腹血糖水平低于140毫克/分升[mg/dl]或医疗保健提供者指定的其他数值）。患有妊娠糖尿病的妇女也可以用它来监测血糖水平。</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核心功能相关使用风险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lang w:val="en-US" w:eastAsia="zh-CN"/>
        </w:rPr>
        <w:t>血糖仪使用错误，测得的血糖结果不准，会影响后续行动，导致血糖过低或过高。</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用户接口设计：</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用户：</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使用场景：</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日常使用：血糖仪通常在非紧急情况下常规使用。根据每个病人的糖尿病性质和血糖监测需要，可能需要或多或少地进行检测。例如，有些用户可能每周检测几次。其他人可能每天检测几次，包括餐前、餐后、运动前后。</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在日常使用过程中，进行测试几乎没有时间压力。使用者应该有必要用一定的时间来整理用品、彻底洗净并擦干双手、使用采血笔抽血、小心地将血液涂抹在试纸上、获取读数以及事后清理。然而，在某些情况下，使用者可能会匆忙完成测试过程，因为他们可能会觉得自己已经掌握了这一过程（即已经记住了这一流程）。匆忙完成测试过程的可能原因包括：起床晚了，需要在开始工作前匆忙完成晨练；当孩子或其他人需要他们照顾时，他们会匆忙完成测试；他们只是想快速完成测试，以便能够继续进行其他感兴趣的活动。</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2）紧急使用：可能出现的紧急使用场景包括自测用户出现中度至重度低血糖症状，包括以下一种或多种症状。</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-精神错乱、注意力不集中</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-手抖（震颤）</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-头晕</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-大量出汗</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-焦虑</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-心跳加快</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另一种可能的紧急使用情况是自测用户出现严重的高血糖症状。如果血糖水平过高，他们可能会出现以下一种或多种症状：</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-精神错乱、注意力不集中</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-疲劳</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-视力模糊</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-头痛</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在上述使用情景中，用户精神或身体状态的改变可能会影响其正确使用血糖仪的能力。此外，他们可能会在测试过程中匆忙决定应对其受损状态（即血糖水平过低或过高）的最佳方法，例如进食（即摄入碳水化合物）、注射胰高血糖素类似物或注射胰岛素。</w:t>
      </w:r>
    </w:p>
    <w:p>
      <w:pPr>
        <w:pStyle w:val="3"/>
        <w:spacing w:line="360" w:lineRule="auto"/>
        <w:ind w:left="0" w:leftChars="0" w:firstLine="0" w:firstLineChars="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血糖仪适用于脆弱人群，存在紧急使用情况，需要加强人因设计。</w:t>
      </w:r>
    </w:p>
    <w:p>
      <w:pPr>
        <w:pStyle w:val="3"/>
        <w:spacing w:line="360" w:lineRule="auto"/>
        <w:ind w:left="0" w:leftChars="0" w:firstLine="0" w:firstLineChars="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同类医疗器械上市后发生</w:t>
      </w:r>
      <w:r>
        <w:rPr>
          <w:rFonts w:hint="eastAsia" w:asciiTheme="minorEastAsia" w:hAnsiTheme="minorEastAsia" w:eastAsiaTheme="minorEastAsia" w:cstheme="minorEastAsia"/>
          <w:color w:val="auto"/>
          <w:lang w:val="en-US" w:eastAsia="zh-CN"/>
        </w:rPr>
        <w:t>无</w:t>
      </w:r>
      <w:r>
        <w:rPr>
          <w:rFonts w:hint="eastAsia" w:asciiTheme="minorEastAsia" w:hAnsiTheme="minorEastAsia" w:eastAsiaTheme="minorEastAsia" w:cstheme="minorEastAsia"/>
          <w:color w:val="auto"/>
        </w:rPr>
        <w:t>与用户使用和/或用户接口设计相关的不良事件及召回等情况</w:t>
      </w:r>
      <w:r>
        <w:rPr>
          <w:rFonts w:hint="eastAsia" w:asciiTheme="minorEastAsia" w:hAnsiTheme="minorEastAsia" w:eastAsiaTheme="minorEastAsia" w:cstheme="minorEastAsia"/>
          <w:color w:val="auto"/>
          <w:lang w:eastAsia="zh-CN"/>
        </w:rPr>
        <w:t>。</w:t>
      </w:r>
    </w:p>
    <w:p>
      <w:pPr>
        <w:pStyle w:val="2"/>
        <w:numPr>
          <w:ilvl w:val="0"/>
          <w:numId w:val="1"/>
        </w:numPr>
        <w:spacing w:line="360" w:lineRule="auto"/>
        <w:rPr>
          <w:rFonts w:hint="eastAsia" w:asciiTheme="minorEastAsia" w:hAnsiTheme="minorEastAsia" w:eastAsiaTheme="minorEastAsia" w:cstheme="minorEastAsia"/>
          <w:color w:val="auto"/>
        </w:rPr>
      </w:pPr>
      <w:bookmarkStart w:id="2" w:name="_Toc11558"/>
      <w:r>
        <w:rPr>
          <w:rFonts w:hint="eastAsia" w:asciiTheme="minorEastAsia" w:hAnsiTheme="minorEastAsia" w:eastAsiaTheme="minorEastAsia" w:cstheme="minorEastAsia"/>
          <w:color w:val="auto"/>
        </w:rPr>
        <w:t>核心要素</w:t>
      </w:r>
      <w:bookmarkEnd w:id="2"/>
    </w:p>
    <w:p>
      <w:pPr>
        <w:pStyle w:val="4"/>
        <w:numPr>
          <w:ilvl w:val="1"/>
          <w:numId w:val="1"/>
        </w:numPr>
        <w:spacing w:line="360" w:lineRule="auto"/>
        <w:ind w:firstLineChars="0"/>
        <w:rPr>
          <w:rFonts w:hint="eastAsia" w:asciiTheme="minorEastAsia" w:hAnsiTheme="minorEastAsia" w:eastAsiaTheme="minorEastAsia" w:cstheme="minorEastAsia"/>
          <w:color w:val="auto"/>
        </w:rPr>
      </w:pPr>
      <w:bookmarkStart w:id="3" w:name="_Toc21438"/>
      <w:r>
        <w:rPr>
          <w:rFonts w:hint="eastAsia" w:asciiTheme="minorEastAsia" w:hAnsiTheme="minorEastAsia" w:eastAsiaTheme="minorEastAsia" w:cstheme="minorEastAsia"/>
          <w:color w:val="auto"/>
        </w:rPr>
        <w:t>用户/用户组：</w:t>
      </w:r>
      <w:bookmarkEnd w:id="3"/>
    </w:p>
    <w:p>
      <w:pPr>
        <w:spacing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3.1.1非临床人士：血糖仪主要供青少年和成人非专业人士使用，可在柜台购买，无需处方（美国）。</w:t>
      </w:r>
    </w:p>
    <w:p>
      <w:pPr>
        <w:spacing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3.1.2临床人士：临床医生。</w:t>
      </w:r>
    </w:p>
    <w:p>
      <w:pPr>
        <w:spacing w:line="360" w:lineRule="auto"/>
        <w:ind w:firstLine="420"/>
        <w:jc w:val="cente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表1 不同的用户组及其特征</w:t>
      </w:r>
    </w:p>
    <w:tbl>
      <w:tblPr>
        <w:tblStyle w:val="11"/>
        <w:tblpPr w:leftFromText="180" w:rightFromText="180" w:vertAnchor="text" w:horzAnchor="page" w:tblpXSpec="center" w:tblpY="625"/>
        <w:tblOverlap w:val="never"/>
        <w:tblW w:w="10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776"/>
        <w:gridCol w:w="1766"/>
        <w:gridCol w:w="1125"/>
        <w:gridCol w:w="5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49"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不同的用户组</w:t>
            </w:r>
          </w:p>
        </w:tc>
        <w:tc>
          <w:tcPr>
            <w:tcW w:w="77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年龄范围</w:t>
            </w:r>
          </w:p>
        </w:tc>
        <w:tc>
          <w:tcPr>
            <w:tcW w:w="176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受教育程度</w:t>
            </w:r>
          </w:p>
        </w:tc>
        <w:tc>
          <w:tcPr>
            <w:tcW w:w="1125"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血糖仪的使用经验</w:t>
            </w:r>
          </w:p>
        </w:tc>
        <w:tc>
          <w:tcPr>
            <w:tcW w:w="5480"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可能影响性能的因素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49"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青少年</w:t>
            </w:r>
          </w:p>
        </w:tc>
        <w:tc>
          <w:tcPr>
            <w:tcW w:w="77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12-21</w:t>
            </w:r>
          </w:p>
        </w:tc>
        <w:tc>
          <w:tcPr>
            <w:tcW w:w="176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小学以及不同程度的高中和大学教育</w:t>
            </w:r>
          </w:p>
        </w:tc>
        <w:tc>
          <w:tcPr>
            <w:tcW w:w="1125"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可能有</w:t>
            </w:r>
          </w:p>
        </w:tc>
        <w:tc>
          <w:tcPr>
            <w:tcW w:w="5480"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-对自己的能力过于自信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-倾向于略读而不是完整阅读说明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-词汇量和读写能力可能有限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-有匆忙完成任务的倾向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-更愿意冒险（接受风险）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-倾向于无视指示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-高度熟悉数字设备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1249"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成人</w:t>
            </w:r>
          </w:p>
        </w:tc>
        <w:tc>
          <w:tcPr>
            <w:tcW w:w="77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22-64</w:t>
            </w:r>
          </w:p>
        </w:tc>
        <w:tc>
          <w:tcPr>
            <w:tcW w:w="176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不同程度的高中和大学教育</w:t>
            </w:r>
          </w:p>
        </w:tc>
        <w:tc>
          <w:tcPr>
            <w:tcW w:w="1125"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可能有</w:t>
            </w:r>
          </w:p>
        </w:tc>
        <w:tc>
          <w:tcPr>
            <w:tcW w:w="5480"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-对判断过于自信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-急于求成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-倾向于略读而不是完整阅读说明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-使用数字设备的舒适度适中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-可能存在比老年人轻微的视觉、听觉、触觉、灵活性和认知过程障碍；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49"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vertAlign w:val="superscript"/>
              </w:rPr>
            </w:pPr>
            <w:r>
              <w:rPr>
                <w:rFonts w:hint="eastAsia" w:asciiTheme="minorEastAsia" w:hAnsiTheme="minorEastAsia" w:eastAsiaTheme="minorEastAsia" w:cstheme="minorEastAsia"/>
                <w:color w:val="auto"/>
                <w:sz w:val="21"/>
                <w:szCs w:val="21"/>
              </w:rPr>
              <w:t>老年人</w:t>
            </w:r>
            <w:r>
              <w:rPr>
                <w:rFonts w:hint="eastAsia" w:asciiTheme="minorEastAsia" w:hAnsiTheme="minorEastAsia" w:eastAsiaTheme="minorEastAsia" w:cstheme="minorEastAsia"/>
                <w:color w:val="auto"/>
                <w:sz w:val="21"/>
                <w:szCs w:val="21"/>
                <w:vertAlign w:val="superscript"/>
              </w:rPr>
              <w:t>a</w:t>
            </w:r>
          </w:p>
        </w:tc>
        <w:tc>
          <w:tcPr>
            <w:tcW w:w="77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65+</w:t>
            </w:r>
          </w:p>
        </w:tc>
        <w:tc>
          <w:tcPr>
            <w:tcW w:w="176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不同程度的高中和大学教育</w:t>
            </w:r>
          </w:p>
        </w:tc>
        <w:tc>
          <w:tcPr>
            <w:tcW w:w="1125"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可能有</w:t>
            </w:r>
          </w:p>
        </w:tc>
        <w:tc>
          <w:tcPr>
            <w:tcW w:w="5480"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-视觉、听觉、触觉、灵活性和认知过程可能出现障碍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-更倾向于仔细阅读说明书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249"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护理人员</w:t>
            </w:r>
          </w:p>
        </w:tc>
        <w:tc>
          <w:tcPr>
            <w:tcW w:w="77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w:t>
            </w:r>
          </w:p>
        </w:tc>
        <w:tc>
          <w:tcPr>
            <w:tcW w:w="176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不同程度的高中和大学教育</w:t>
            </w:r>
          </w:p>
        </w:tc>
        <w:tc>
          <w:tcPr>
            <w:tcW w:w="1125"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可能有</w:t>
            </w:r>
          </w:p>
        </w:tc>
        <w:tc>
          <w:tcPr>
            <w:tcW w:w="5480"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-担心针刺伤和传播血源性疾病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-缺乏与静脉注射有关的即时反馈</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-可能不熟悉特定的血糖仪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1249"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护士</w:t>
            </w:r>
          </w:p>
        </w:tc>
        <w:tc>
          <w:tcPr>
            <w:tcW w:w="77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w:t>
            </w:r>
          </w:p>
        </w:tc>
        <w:tc>
          <w:tcPr>
            <w:tcW w:w="1766"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高中及2-4年的护理学校教育</w:t>
            </w:r>
          </w:p>
        </w:tc>
        <w:tc>
          <w:tcPr>
            <w:tcW w:w="1125"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w:t>
            </w:r>
          </w:p>
        </w:tc>
        <w:tc>
          <w:tcPr>
            <w:tcW w:w="5480" w:type="dxa"/>
            <w:vAlign w:val="center"/>
          </w:tcPr>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-对判断过于自信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-急于求成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-倾向于无视指示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-高度熟悉数字设备 </w:t>
            </w:r>
          </w:p>
          <w:p>
            <w:pPr>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-可能有视觉、听觉、触觉、灵活性和认知过程障碍，比老年人轻微，但在持证专业人员的职责范围内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396" w:type="dxa"/>
            <w:gridSpan w:val="5"/>
            <w:vAlign w:val="center"/>
          </w:tcPr>
          <w:p>
            <w:pPr>
              <w:adjustRightInd w:val="0"/>
              <w:snapToGrid w:val="0"/>
              <w:spacing w:line="360" w:lineRule="auto"/>
              <w:ind w:firstLine="105" w:firstLineChars="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vertAlign w:val="superscript"/>
              </w:rPr>
              <w:t>a</w:t>
            </w:r>
            <w:r>
              <w:rPr>
                <w:rFonts w:hint="eastAsia" w:asciiTheme="minorEastAsia" w:hAnsiTheme="minorEastAsia" w:eastAsiaTheme="minorEastAsia" w:cstheme="minorEastAsia"/>
                <w:color w:val="auto"/>
                <w:sz w:val="21"/>
                <w:szCs w:val="21"/>
              </w:rPr>
              <w:t xml:space="preserve">  鉴于个体差异，成年人和老年人之间有细微差别</w:t>
            </w:r>
          </w:p>
        </w:tc>
      </w:tr>
    </w:tbl>
    <w:p>
      <w:pPr>
        <w:spacing w:line="360" w:lineRule="auto"/>
        <w:ind w:firstLine="420"/>
        <w:rPr>
          <w:rFonts w:hint="eastAsia" w:asciiTheme="minorEastAsia" w:hAnsiTheme="minorEastAsia" w:eastAsiaTheme="minorEastAsia" w:cstheme="minorEastAsia"/>
          <w:color w:val="auto"/>
          <w:lang w:val="en-US" w:eastAsia="zh-CN"/>
        </w:rPr>
      </w:pPr>
    </w:p>
    <w:p>
      <w:pPr>
        <w:pStyle w:val="4"/>
        <w:numPr>
          <w:ilvl w:val="1"/>
          <w:numId w:val="1"/>
        </w:numPr>
        <w:spacing w:line="360" w:lineRule="auto"/>
        <w:ind w:firstLineChars="0"/>
        <w:rPr>
          <w:rFonts w:hint="eastAsia" w:asciiTheme="minorEastAsia" w:hAnsiTheme="minorEastAsia" w:eastAsiaTheme="minorEastAsia" w:cstheme="minorEastAsia"/>
          <w:color w:val="auto"/>
        </w:rPr>
      </w:pPr>
      <w:bookmarkStart w:id="4" w:name="_Toc30976"/>
      <w:r>
        <w:rPr>
          <w:rFonts w:hint="eastAsia" w:asciiTheme="minorEastAsia" w:hAnsiTheme="minorEastAsia" w:eastAsiaTheme="minorEastAsia" w:cstheme="minorEastAsia"/>
          <w:color w:val="auto"/>
        </w:rPr>
        <w:t>使用场景/操作任务：</w:t>
      </w:r>
      <w:bookmarkEnd w:id="4"/>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3.2.1使用场景：</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日常使用：血糖仪通常在非紧急情况下常规使用。根据每个病人的糖尿病性质和血糖监测需要，可能需要或多或少地进行检测。例如，有些用户可能每周检测几次。其他人可能每天检测几次，包括餐前、餐后、运动前后。</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在日常使用过程中，进行测试几乎没有时间压力。使用者应该有必要用一定的时间来整理用品、彻底洗净并擦干双手、使用采血笔抽血、小心地将血液涂抹在试纸上、获取读数以及事后清理。然而，在某些情况下，使用者可能会匆忙完成测试过程，因为他们可能会觉得自己已经掌握了这一过程（即已经记住了这一流程）。匆忙完成测试过程的可能原因包括：起床晚了，需要在开始工作前匆忙完成晨练；当孩子或其他人需要他们照顾时，他们会匆忙完成测试；他们只是想快速完成测试，以便能够继续进行其他感兴趣的活动。</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2）紧急使用：可能出现的紧急使用场景包括自测用户出现中度至重度低血糖症状，包括以下一种或多种症状。</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-精神错乱、注意力不集中</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-手抖（震颤）</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-头晕</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-大量出汗</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-焦虑</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-心跳加快</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另一种可能的紧急使用情况是自测用户出现严重的高血糖症状。如果血糖水平过高，他们可能会出现以下一种或多种症状：</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-精神错乱、注意力不集中</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-疲劳</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-视力模糊</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-头痛</w:t>
      </w:r>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在上述使用情景中，用户精神或身体状态的改变可能会影响其正确使用血糖仪的能力。此外，他们可能会在测试过程中匆忙决定应对其受损状态（即血糖水平过低或过高）的最佳方法，例如进食（即摄入碳水化合物）、注射胰高血糖素类似物或注射胰岛素。</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3.2.2操作任务：</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1）从储存盒中取出血糖仪和进行测试所需的用品。</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2）彻底清洗并擦干双手。</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3）用消毒巾对采血部位（如指尖）进行消毒，并等待采血部位风干。</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4）打开试纸瓶，取出一条试纸，注意不要损坏试纸或触及电极或采样位置。</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5）将试纸放入血糖仪的试纸端口，使血糖仪启动。</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6)设置好所需的深度。</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7)将采血针放入采血笔，并将针尖旋出。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8）将采血笔尖端与采样部位成90度角（即垂直于采样部位）。</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9）按下采血笔按钮用针尖刺穿皮肤。</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10）从取样部位提起采血笔。</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11）必要时挤压采样部位周围，以产生小血滴。</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12）将试纸末端的血液通道（即毛细管通道）对准血滴。血糖仪发出哔哔声，确认样本已被接受。</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13）等待5秒钟。</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 查看血糖仪屏幕上的血糖测试结果。此外，听到确认提示音，表示现在显示测量结果；听到错误提示音，表示无法完成测量。</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15）如果需要，可使用血糖仪的菜单/输入按钮对读数进行注释，例如说明测量是在进餐或运动后不久进行的。</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16）取出用过的试纸，丢弃在利器/生物危害容器中。</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17）取出用过的采血针，丢弃在利器/生物危险品容器中。</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18）将所有测试材料放回储存盒。</w:t>
      </w:r>
    </w:p>
    <w:p>
      <w:pPr>
        <w:pStyle w:val="4"/>
        <w:numPr>
          <w:ilvl w:val="1"/>
          <w:numId w:val="1"/>
        </w:numPr>
        <w:spacing w:line="360" w:lineRule="auto"/>
        <w:ind w:firstLineChars="0"/>
        <w:rPr>
          <w:rFonts w:hint="eastAsia" w:asciiTheme="minorEastAsia" w:hAnsiTheme="minorEastAsia" w:eastAsiaTheme="minorEastAsia" w:cstheme="minorEastAsia"/>
          <w:color w:val="auto"/>
        </w:rPr>
      </w:pPr>
      <w:bookmarkStart w:id="5" w:name="_Toc3402"/>
      <w:r>
        <w:rPr>
          <w:rFonts w:hint="eastAsia" w:asciiTheme="minorEastAsia" w:hAnsiTheme="minorEastAsia" w:eastAsiaTheme="minorEastAsia" w:cstheme="minorEastAsia"/>
          <w:color w:val="auto"/>
        </w:rPr>
        <w:t>用户界面：</w:t>
      </w:r>
      <w:bookmarkEnd w:id="5"/>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w:t>
      </w:r>
      <w:r>
        <w:rPr>
          <w:rFonts w:hint="eastAsia" w:asciiTheme="minorEastAsia" w:hAnsiTheme="minorEastAsia" w:eastAsiaTheme="minorEastAsia" w:cstheme="minorEastAsia"/>
          <w:color w:val="auto"/>
          <w:kern w:val="2"/>
          <w:sz w:val="24"/>
          <w:szCs w:val="24"/>
          <w:lang w:val="en-US" w:eastAsia="zh-CN" w:bidi="ar-SA"/>
        </w:rPr>
        <w:t xml:space="preserve"> 硬件 </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3.3.1.1</w:t>
      </w:r>
      <w:r>
        <w:rPr>
          <w:rFonts w:hint="eastAsia" w:asciiTheme="minorEastAsia" w:hAnsiTheme="minorEastAsia" w:eastAsiaTheme="minorEastAsia" w:cstheme="minorEastAsia"/>
          <w:color w:val="auto"/>
          <w:kern w:val="2"/>
          <w:sz w:val="24"/>
          <w:szCs w:val="24"/>
          <w:lang w:val="en-US" w:eastAsia="zh-CN" w:bidi="ar-SA"/>
        </w:rPr>
        <w:t xml:space="preserve"> 物理装置 </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血糖仪不得有可能撕裂检查手套或撕裂使用者皮肤的尖锐点或边缘。</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仪器应具有防滑纹理（如摩擦系数高的材料）。</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血氧计的表面处理应易于显示血液污染（即其外部颜色与暗红色[十六进制 #8b0000]的对比度应为 3:1）。</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3.3.1.2</w:t>
      </w:r>
      <w:r>
        <w:rPr>
          <w:rFonts w:hint="eastAsia" w:asciiTheme="minorEastAsia" w:hAnsiTheme="minorEastAsia" w:eastAsiaTheme="minorEastAsia" w:cstheme="minorEastAsia"/>
          <w:color w:val="auto"/>
          <w:kern w:val="2"/>
          <w:sz w:val="24"/>
          <w:szCs w:val="24"/>
          <w:lang w:val="en-US" w:eastAsia="zh-CN" w:bidi="ar-SA"/>
        </w:rPr>
        <w:t xml:space="preserve"> 显示屏 </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显示屏应有背光。</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仪表的显示屏应经过防眩处理（例如，雾度值为 25%的浅色防眩涂层）。</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显示屏分辨率应≥ 100 dpi。</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w:t>
      </w:r>
      <w:r>
        <w:rPr>
          <w:rFonts w:hint="eastAsia" w:asciiTheme="minorEastAsia" w:hAnsiTheme="minorEastAsia" w:eastAsiaTheme="minorEastAsia" w:cstheme="minorEastAsia"/>
          <w:color w:val="auto"/>
          <w:kern w:val="2"/>
          <w:sz w:val="24"/>
          <w:szCs w:val="24"/>
          <w:lang w:val="en-US" w:eastAsia="zh-CN" w:bidi="ar-SA"/>
        </w:rPr>
        <w:t xml:space="preserve">3 试纸插入口 </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试纸端口应包括一个标记，标明插入试纸的正确方向。</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试纸插入口的形状应能引导试纸插入。</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当使用者完全插入试纸时，测试仪应提供触觉反馈。</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w:t>
      </w:r>
      <w:r>
        <w:rPr>
          <w:rFonts w:hint="eastAsia" w:asciiTheme="minorEastAsia" w:hAnsiTheme="minorEastAsia" w:eastAsiaTheme="minorEastAsia" w:cstheme="minorEastAsia"/>
          <w:color w:val="auto"/>
          <w:kern w:val="2"/>
          <w:sz w:val="24"/>
          <w:szCs w:val="24"/>
          <w:lang w:val="en-US" w:eastAsia="zh-CN" w:bidi="ar-SA"/>
        </w:rPr>
        <w:t>4 电池</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当电池电量只剩 10%时，仪表应显示需要更换电池。</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用户无需使用工具（如螺丝刀）即可更换电池。</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更换电池不会导致任何数据丢失。</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w:t>
      </w:r>
      <w:r>
        <w:rPr>
          <w:rFonts w:hint="eastAsia" w:asciiTheme="minorEastAsia" w:hAnsiTheme="minorEastAsia" w:eastAsiaTheme="minorEastAsia" w:cstheme="minorEastAsia"/>
          <w:color w:val="auto"/>
          <w:kern w:val="2"/>
          <w:sz w:val="24"/>
          <w:szCs w:val="24"/>
          <w:lang w:val="en-US" w:eastAsia="zh-CN" w:bidi="ar-SA"/>
        </w:rPr>
        <w:t>5 存放盒</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仪表应配备一个储存箱。</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存放箱应包括一些保护仪表免受中等钝力和挤压的装置。</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存放盒内至少应存放血糖仪、使用说明、快速参考指南和必要的附件（如试液、试纸、柳叶刀装置和柳叶刀）。</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w:t>
      </w:r>
      <w:r>
        <w:rPr>
          <w:rFonts w:hint="eastAsia" w:asciiTheme="minorEastAsia" w:hAnsiTheme="minorEastAsia" w:eastAsiaTheme="minorEastAsia" w:cstheme="minorEastAsia"/>
          <w:color w:val="auto"/>
          <w:kern w:val="2"/>
          <w:sz w:val="24"/>
          <w:szCs w:val="24"/>
          <w:lang w:val="en-US" w:eastAsia="zh-CN" w:bidi="ar-SA"/>
        </w:rPr>
        <w:t>6 标记</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按钮标记应置于按钮表面或按钮上方。</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在产品使用期内，标记应能抵御因日光（特别是紫外线）照射而导致的老化，以免降低其可读性。</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在产品的使用期内，标记应能抵御磨损，如手指的反复触摸会降低其可读性。</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w:t>
      </w:r>
      <w:r>
        <w:rPr>
          <w:rFonts w:hint="eastAsia" w:asciiTheme="minorEastAsia" w:hAnsiTheme="minorEastAsia" w:eastAsiaTheme="minorEastAsia" w:cstheme="minorEastAsia"/>
          <w:color w:val="auto"/>
          <w:kern w:val="2"/>
          <w:sz w:val="24"/>
          <w:szCs w:val="24"/>
          <w:lang w:val="en-US" w:eastAsia="zh-CN" w:bidi="ar-SA"/>
        </w:rPr>
        <w:t>7 按钮（键）</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按钮应是平的或凹的，但不得是凸的。</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按钮应按形状编码，以区分其用途。</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按钮应提供触觉反馈（如通过按键的移动或振动），以确认按键已被按下。</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3.3.1.</w:t>
      </w:r>
      <w:r>
        <w:rPr>
          <w:rFonts w:hint="eastAsia" w:asciiTheme="minorEastAsia" w:hAnsiTheme="minorEastAsia" w:eastAsiaTheme="minorEastAsia" w:cstheme="minorEastAsia"/>
          <w:color w:val="auto"/>
          <w:kern w:val="2"/>
          <w:sz w:val="24"/>
          <w:szCs w:val="24"/>
          <w:lang w:val="en-US" w:eastAsia="zh-CN" w:bidi="ar-SA"/>
        </w:rPr>
        <w:t>8 扬声器（音频发射器）</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发射的声音应在 0 dB 至 70 dB 范围内可调。</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发出的声音应在 400 赫兹至 1500 赫兹的范围内。</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血液测试完成/结果显示时，血糖仪应发出声音提示。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 软件</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.2.1 设置</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血糖仪应能让用户清除（即删除）所有储存的数据，并将其恢复到出厂预设状态。</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当仪表以 12 小时格式显示时间时（如下午 3:15），"PM "应与时间数字大小相同。</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仪器应允许用户将葡萄糖单位设置为 mmol/l（毫摩尔/升）或 mg/dl（毫克/分升）。</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.2.2 血液测试</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开机显示最近的葡萄糖读数后，血糖仪应指示用户插入试纸。</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如果用户插入的是用过的试纸，血糖仪应指示用户取下用过的试纸并插入新的试纸。</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如果用户认为最近的血糖读数不正确，血糖仪应允许用户删除该读数。</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.2.3 智能手机连接</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血糖仪应要求用户输入一个通过安全方式提供给用户的代码，以便与指定的智能手机配对。</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电表应可通过从运行相关设置应用程序的智能手机下载设置配置的方式进行编程。</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仪表应显示其智能手机通信功能（如蓝牙）何时开启。</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.2.4 语音提示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电表应提供与所有用户任务相关的语音提示。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电表应能让用户选择不同级别的指导： 高、中、低。</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仪表应能让用户选择男声或女声。</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.2.5 文字、数字和符号</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屏幕文字字体应为无衬线字体（即字形没有扩展特征/花纹或笔画宽度变化）。</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葡萄糖读数应≥ 60 点。</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时钟应显示小时和分钟。</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.2.6 警告、注意事项和通知</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屏幕上的警告应以中红色背景上的白色文字显示。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屏幕上的警告应以中橙色背景黑色文字显示。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屏幕通知应为中蓝色背景上的白色文字。</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.2.7 注释、分析和建议</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1）血糖仪应使用户能够对血糖读数进行注释，以表明他们最近吃过一顿饭。</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血糖仪应显示每个血糖读数是否在目标范围内、高于上限或低于下限。</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仪器应能让用户查看过去 1 天、7 天和 14 天的平均血糖水平。</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.2.8 误差、故障和质量检查</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当温度过低而无法进行准确的血糖测试时，血糖仪应发出提示，同时显示其正常工作范 围。</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2）血糖仪在出现故障时应作出提示。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3）血糖仪应能使用户对已知液体进行测试，以确定葡萄糖读数的准确性（即进行质量检查）。</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.2.9 数据储存</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仪器应能使使用人员删除选定时间间隔内的测试数据。</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仪表应要求用户确认删除数据的任何操作，包括可能被认为是错误的测试结果。</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 仪器应能让使用人员设置血液测试的提示。</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3.3</w:t>
      </w:r>
      <w:r>
        <w:rPr>
          <w:rFonts w:hint="eastAsia" w:asciiTheme="minorEastAsia" w:hAnsiTheme="minorEastAsia" w:eastAsiaTheme="minorEastAsia" w:cstheme="minorEastAsia"/>
          <w:color w:val="auto"/>
          <w:kern w:val="2"/>
          <w:sz w:val="24"/>
          <w:szCs w:val="24"/>
          <w:lang w:val="en-US" w:eastAsia="zh-CN" w:bidi="ar-SA"/>
        </w:rPr>
        <w:t>.2.10 电源管理</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 使用者插入试纸后，血糖仪的显示屏应在 1 秒钟内启动。</w:t>
      </w:r>
    </w:p>
    <w:p>
      <w:p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 仪器在静止 1 分钟至 2 分钟后自动断电。</w:t>
      </w:r>
    </w:p>
    <w:p>
      <w:pPr>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2"/>
          <w:sz w:val="24"/>
          <w:szCs w:val="24"/>
          <w:lang w:val="en-US" w:eastAsia="zh-CN" w:bidi="ar-SA"/>
        </w:rPr>
        <w:t>3) 停止关机倒计时只需一个动作</w:t>
      </w:r>
      <w:r>
        <w:rPr>
          <w:rFonts w:hint="eastAsia" w:asciiTheme="minorEastAsia" w:hAnsiTheme="minorEastAsia" w:eastAsiaTheme="minorEastAsia" w:cstheme="minorEastAsia"/>
          <w:color w:val="auto"/>
        </w:rPr>
        <w:t>。</w:t>
      </w:r>
    </w:p>
    <w:p>
      <w:pPr>
        <w:pStyle w:val="4"/>
        <w:numPr>
          <w:ilvl w:val="1"/>
          <w:numId w:val="1"/>
        </w:numPr>
        <w:spacing w:line="360" w:lineRule="auto"/>
        <w:ind w:firstLineChars="0"/>
        <w:rPr>
          <w:rFonts w:hint="eastAsia" w:asciiTheme="minorEastAsia" w:hAnsiTheme="minorEastAsia" w:eastAsiaTheme="minorEastAsia" w:cstheme="minorEastAsia"/>
          <w:color w:val="auto"/>
        </w:rPr>
      </w:pPr>
      <w:bookmarkStart w:id="6" w:name="_Toc5800"/>
      <w:r>
        <w:rPr>
          <w:rFonts w:hint="eastAsia" w:asciiTheme="minorEastAsia" w:hAnsiTheme="minorEastAsia" w:eastAsiaTheme="minorEastAsia" w:cstheme="minorEastAsia"/>
          <w:color w:val="auto"/>
        </w:rPr>
        <w:t>型号规格划分说明：</w:t>
      </w:r>
      <w:bookmarkEnd w:id="6"/>
      <w:r>
        <w:rPr>
          <w:rFonts w:hint="eastAsia" w:asciiTheme="minorEastAsia" w:hAnsiTheme="minorEastAsia" w:eastAsiaTheme="minorEastAsia" w:cstheme="minorEastAsia"/>
          <w:color w:val="auto"/>
          <w:lang w:val="en-US" w:eastAsia="zh-CN"/>
        </w:rPr>
        <w:t>仅一个型号，GM-1。</w:t>
      </w:r>
    </w:p>
    <w:p>
      <w:pPr>
        <w:pStyle w:val="2"/>
        <w:numPr>
          <w:ilvl w:val="0"/>
          <w:numId w:val="1"/>
        </w:numPr>
        <w:spacing w:line="360" w:lineRule="auto"/>
        <w:rPr>
          <w:rFonts w:hint="eastAsia" w:asciiTheme="minorEastAsia" w:hAnsiTheme="minorEastAsia" w:eastAsiaTheme="minorEastAsia" w:cstheme="minorEastAsia"/>
          <w:color w:val="auto"/>
        </w:rPr>
      </w:pPr>
      <w:bookmarkStart w:id="7" w:name="_Toc28815"/>
      <w:r>
        <w:rPr>
          <w:rFonts w:hint="eastAsia" w:asciiTheme="minorEastAsia" w:hAnsiTheme="minorEastAsia" w:eastAsiaTheme="minorEastAsia" w:cstheme="minorEastAsia"/>
          <w:color w:val="auto"/>
        </w:rPr>
        <w:t>同类医疗器械上市后使用问题分析</w:t>
      </w:r>
      <w:bookmarkEnd w:id="7"/>
    </w:p>
    <w:p>
      <w:pPr>
        <w:pStyle w:val="3"/>
        <w:numPr>
          <w:ilvl w:val="2"/>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文献</w:t>
      </w:r>
      <w:r>
        <w:rPr>
          <w:rFonts w:hint="eastAsia" w:asciiTheme="minorEastAsia" w:hAnsiTheme="minorEastAsia" w:eastAsiaTheme="minorEastAsia" w:cstheme="minorEastAsia"/>
          <w:color w:val="auto"/>
        </w:rPr>
        <w:t>检索报告</w:t>
      </w:r>
    </w:p>
    <w:p>
      <w:pPr>
        <w:pStyle w:val="3"/>
        <w:numPr>
          <w:ilvl w:val="0"/>
          <w:numId w:val="0"/>
        </w:numPr>
        <w:spacing w:line="360" w:lineRule="auto"/>
        <w:ind w:left="425" w:leftChars="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产品名称：血糖仪</w:t>
      </w:r>
    </w:p>
    <w:p>
      <w:pPr>
        <w:pStyle w:val="3"/>
        <w:numPr>
          <w:ilvl w:val="0"/>
          <w:numId w:val="0"/>
        </w:numPr>
        <w:spacing w:line="360" w:lineRule="auto"/>
        <w:ind w:left="425" w:leftChars="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检索的时间范围：2010-2024</w:t>
      </w:r>
    </w:p>
    <w:p>
      <w:pPr>
        <w:pStyle w:val="3"/>
        <w:numPr>
          <w:ilvl w:val="0"/>
          <w:numId w:val="0"/>
        </w:numPr>
        <w:spacing w:line="360" w:lineRule="auto"/>
        <w:ind w:left="425" w:leftChars="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检索数据库：万方、知网</w:t>
      </w:r>
    </w:p>
    <w:p>
      <w:pPr>
        <w:pStyle w:val="3"/>
        <w:numPr>
          <w:ilvl w:val="0"/>
          <w:numId w:val="0"/>
        </w:numPr>
        <w:spacing w:line="360" w:lineRule="auto"/>
        <w:ind w:left="425" w:leftChars="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检索关键词：血糖仪</w:t>
      </w:r>
    </w:p>
    <w:p>
      <w:pPr>
        <w:pStyle w:val="3"/>
        <w:numPr>
          <w:ilvl w:val="0"/>
          <w:numId w:val="0"/>
        </w:numPr>
        <w:spacing w:line="360" w:lineRule="auto"/>
        <w:ind w:left="425" w:leftChars="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临床文献汇总：见表</w:t>
      </w:r>
    </w:p>
    <w:p>
      <w:pPr>
        <w:pStyle w:val="3"/>
        <w:numPr>
          <w:ilvl w:val="2"/>
          <w:numId w:val="1"/>
        </w:numPr>
        <w:spacing w:line="360" w:lineRule="auto"/>
        <w:ind w:firstLineChars="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等效医疗器械总结性评价资料</w:t>
      </w:r>
    </w:p>
    <w:p>
      <w:pPr>
        <w:pStyle w:val="3"/>
        <w:numPr>
          <w:ilvl w:val="2"/>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申报医疗器械针对差异的总结性评价资料 （若有）</w:t>
      </w:r>
    </w:p>
    <w:p>
      <w:pPr>
        <w:pStyle w:val="3"/>
        <w:numPr>
          <w:ilvl w:val="2"/>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同类医疗器械上市后使用问题分析报告（重点）</w:t>
      </w:r>
    </w:p>
    <w:p>
      <w:pPr>
        <w:pStyle w:val="3"/>
        <w:numPr>
          <w:ilvl w:val="0"/>
          <w:numId w:val="3"/>
        </w:numPr>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不良事件数据收集</w:t>
      </w:r>
    </w:p>
    <w:p>
      <w:pPr>
        <w:pStyle w:val="3"/>
        <w:numPr>
          <w:ilvl w:val="0"/>
          <w:numId w:val="0"/>
        </w:numPr>
        <w:spacing w:line="360" w:lineRule="auto"/>
        <w:ind w:firstLine="480" w:firstLineChars="20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数据概述：血糖仪自上市以来，未发生不良事件</w:t>
      </w:r>
    </w:p>
    <w:p>
      <w:pPr>
        <w:pStyle w:val="3"/>
        <w:numPr>
          <w:ilvl w:val="0"/>
          <w:numId w:val="0"/>
        </w:numPr>
        <w:spacing w:line="360" w:lineRule="auto"/>
        <w:ind w:firstLine="480" w:firstLineChars="20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分析方法：通过国家局医疗器械不良事件信息通报查询不良数据</w:t>
      </w:r>
    </w:p>
    <w:p>
      <w:pPr>
        <w:pStyle w:val="3"/>
        <w:numPr>
          <w:ilvl w:val="0"/>
          <w:numId w:val="0"/>
        </w:numPr>
        <w:spacing w:line="360" w:lineRule="auto"/>
        <w:ind w:firstLine="480" w:firstLineChars="20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数据分析：无任何不良事件发生。</w:t>
      </w:r>
    </w:p>
    <w:p>
      <w:pPr>
        <w:pStyle w:val="3"/>
        <w:numPr>
          <w:ilvl w:val="0"/>
          <w:numId w:val="0"/>
        </w:numPr>
        <w:spacing w:line="360" w:lineRule="auto"/>
        <w:ind w:firstLine="480" w:firstLineChars="20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对分析结果的解释和评价：本产品安全有效，无不良事件发生。</w:t>
      </w:r>
    </w:p>
    <w:p>
      <w:pPr>
        <w:pStyle w:val="2"/>
        <w:numPr>
          <w:ilvl w:val="0"/>
          <w:numId w:val="1"/>
        </w:numPr>
        <w:spacing w:line="360" w:lineRule="auto"/>
        <w:rPr>
          <w:rFonts w:hint="eastAsia" w:asciiTheme="minorEastAsia" w:hAnsiTheme="minorEastAsia" w:eastAsiaTheme="minorEastAsia" w:cstheme="minorEastAsia"/>
          <w:color w:val="auto"/>
        </w:rPr>
      </w:pPr>
      <w:bookmarkStart w:id="8" w:name="_Toc26310"/>
      <w:r>
        <w:rPr>
          <w:rFonts w:hint="eastAsia" w:asciiTheme="minorEastAsia" w:hAnsiTheme="minorEastAsia" w:eastAsiaTheme="minorEastAsia" w:cstheme="minorEastAsia"/>
          <w:color w:val="auto"/>
        </w:rPr>
        <w:t>使用风险管理</w:t>
      </w:r>
      <w:bookmarkEnd w:id="8"/>
    </w:p>
    <w:p>
      <w:pPr>
        <w:pStyle w:val="3"/>
        <w:numPr>
          <w:ilvl w:val="1"/>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风险管理识别使用问题分析方法概述及使用问题列表。</w:t>
      </w:r>
    </w:p>
    <w:p>
      <w:pPr>
        <w:pStyle w:val="3"/>
        <w:numPr>
          <w:ilvl w:val="0"/>
          <w:numId w:val="0"/>
        </w:numPr>
        <w:spacing w:line="360" w:lineRule="auto"/>
        <w:ind w:left="425" w:leftChars="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使用问题分析方法概述：在对使用问题的危害分析中，考虑合理可预见的情况，包括正常条件下、故障条件下，对危害产生的后果或损害包括：对于患者的危害、对于操作者的危害。</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使用问题</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危害结果</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产生的后果或损害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在高温和高湿情况下，将试纸错误长期放置于瓶外（如未盖紧试剂瓶）</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错误的血糖测试结果</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患者依据错误的血糖结果，未服用相关药物或服用超剂量降糖药/胰岛素，导致血糖偏低或持续偏高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患者采血部位未清洁到位</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错误的血糖测试结果</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患者依据错误的血糖结果，未服用相关药物或服用超剂量降糖药/胰岛素，导致血糖偏低或持续偏高</w:t>
            </w:r>
          </w:p>
        </w:tc>
      </w:tr>
    </w:tbl>
    <w:p>
      <w:pPr>
        <w:pStyle w:val="3"/>
        <w:numPr>
          <w:ilvl w:val="0"/>
          <w:numId w:val="0"/>
        </w:numPr>
        <w:spacing w:line="360" w:lineRule="auto"/>
        <w:ind w:left="425" w:leftChars="0"/>
        <w:rPr>
          <w:rFonts w:hint="eastAsia" w:asciiTheme="minorEastAsia" w:hAnsiTheme="minorEastAsia" w:eastAsiaTheme="minorEastAsia" w:cstheme="minorEastAsia"/>
          <w:color w:val="auto"/>
          <w:lang w:val="en-US" w:eastAsia="zh-CN"/>
        </w:rPr>
      </w:pPr>
    </w:p>
    <w:p>
      <w:pPr>
        <w:pStyle w:val="3"/>
        <w:numPr>
          <w:ilvl w:val="1"/>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风险控制措施前风险矩阵表/图</w:t>
      </w:r>
    </w:p>
    <w:p>
      <w:pPr>
        <w:pStyle w:val="3"/>
        <w:numPr>
          <w:ilvl w:val="0"/>
          <w:numId w:val="0"/>
        </w:numPr>
        <w:spacing w:line="360" w:lineRule="auto"/>
        <w:ind w:left="425" w:left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rPr>
        <w:drawing>
          <wp:inline distT="0" distB="0" distL="114300" distR="114300">
            <wp:extent cx="3886200" cy="2104390"/>
            <wp:effectExtent l="0" t="0" r="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3886200" cy="2104390"/>
                    </a:xfrm>
                    <a:prstGeom prst="rect">
                      <a:avLst/>
                    </a:prstGeom>
                    <a:noFill/>
                    <a:ln>
                      <a:noFill/>
                    </a:ln>
                  </pic:spPr>
                </pic:pic>
              </a:graphicData>
            </a:graphic>
          </wp:inline>
        </w:drawing>
      </w:r>
    </w:p>
    <w:p>
      <w:pPr>
        <w:pStyle w:val="3"/>
        <w:numPr>
          <w:ilvl w:val="1"/>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风险控制措施</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使用错误问题</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在高温和高湿情况下，将试纸错误长期放置于瓶外（如未盖紧试剂瓶）</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通过说明书及瓶身提示用户：在取出检测试纸后即刻盖紧试纸容器，以便防潮保存检测试纸。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患者采血部位未清洁到位</w:t>
            </w:r>
          </w:p>
        </w:tc>
        <w:tc>
          <w:tcPr>
            <w:tcW w:w="2841" w:type="dxa"/>
          </w:tcPr>
          <w:p>
            <w:pPr>
              <w:pStyle w:val="3"/>
              <w:numPr>
                <w:ilvl w:val="0"/>
                <w:numId w:val="0"/>
              </w:numPr>
              <w:spacing w:line="360" w:lineRule="auto"/>
              <w:rPr>
                <w:rFonts w:hint="eastAsia" w:asciiTheme="minorEastAsia" w:hAnsiTheme="minorEastAsia" w:eastAsiaTheme="minorEastAsia" w:cstheme="minorEastAsia"/>
                <w:color w:val="auto"/>
                <w:vertAlign w:val="baseline"/>
                <w:lang w:val="en-US" w:eastAsia="zh-CN"/>
              </w:rPr>
            </w:pPr>
            <w:r>
              <w:rPr>
                <w:rFonts w:hint="eastAsia" w:asciiTheme="minorEastAsia" w:hAnsiTheme="minorEastAsia" w:eastAsiaTheme="minorEastAsia" w:cstheme="minorEastAsia"/>
                <w:color w:val="auto"/>
                <w:vertAlign w:val="baseline"/>
                <w:lang w:val="en-US" w:eastAsia="zh-CN"/>
              </w:rPr>
              <w:t>在显示屏和说明书中提示用户：用户检测前应清洁采血部位</w:t>
            </w:r>
          </w:p>
        </w:tc>
      </w:tr>
    </w:tbl>
    <w:p>
      <w:pPr>
        <w:pStyle w:val="3"/>
        <w:numPr>
          <w:ilvl w:val="0"/>
          <w:numId w:val="0"/>
        </w:numPr>
        <w:spacing w:line="360" w:lineRule="auto"/>
        <w:ind w:left="425" w:leftChars="0"/>
        <w:rPr>
          <w:rFonts w:hint="eastAsia" w:asciiTheme="minorEastAsia" w:hAnsiTheme="minorEastAsia" w:eastAsiaTheme="minorEastAsia" w:cstheme="minorEastAsia"/>
          <w:color w:val="auto"/>
        </w:rPr>
      </w:pPr>
    </w:p>
    <w:p>
      <w:pPr>
        <w:pStyle w:val="3"/>
        <w:numPr>
          <w:ilvl w:val="1"/>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风险控制措施后风险矩阵表/图</w:t>
      </w:r>
    </w:p>
    <w:tbl>
      <w:tblPr>
        <w:tblStyle w:val="11"/>
        <w:tblW w:w="100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732"/>
        <w:gridCol w:w="685"/>
        <w:gridCol w:w="837"/>
        <w:gridCol w:w="1321"/>
        <w:gridCol w:w="872"/>
        <w:gridCol w:w="830"/>
        <w:gridCol w:w="599"/>
        <w:gridCol w:w="841"/>
        <w:gridCol w:w="839"/>
        <w:gridCol w:w="840"/>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9" w:type="dxa"/>
            <w:vMerge w:val="restart"/>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bookmarkStart w:id="10" w:name="_GoBack"/>
            <w:r>
              <w:rPr>
                <w:rFonts w:hint="eastAsia" w:asciiTheme="minorEastAsia" w:hAnsiTheme="minorEastAsia" w:eastAsiaTheme="minorEastAsia" w:cstheme="minorEastAsia"/>
                <w:color w:val="auto"/>
                <w:sz w:val="21"/>
                <w:szCs w:val="21"/>
                <w:vertAlign w:val="baseline"/>
                <w:lang w:val="en-US" w:eastAsia="zh-CN"/>
              </w:rPr>
              <w:t>错误编号</w:t>
            </w:r>
          </w:p>
        </w:tc>
        <w:tc>
          <w:tcPr>
            <w:tcW w:w="2254" w:type="dxa"/>
            <w:gridSpan w:val="3"/>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风险估计</w:t>
            </w:r>
          </w:p>
        </w:tc>
        <w:tc>
          <w:tcPr>
            <w:tcW w:w="2193" w:type="dxa"/>
            <w:gridSpan w:val="2"/>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采取控制措施</w:t>
            </w:r>
          </w:p>
        </w:tc>
        <w:tc>
          <w:tcPr>
            <w:tcW w:w="2270" w:type="dxa"/>
            <w:gridSpan w:val="3"/>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采取措施后风险估计</w:t>
            </w:r>
          </w:p>
        </w:tc>
        <w:tc>
          <w:tcPr>
            <w:tcW w:w="2522" w:type="dxa"/>
            <w:gridSpan w:val="3"/>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是否产生新的风险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839" w:type="dxa"/>
            <w:vMerge w:val="continue"/>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p>
        </w:tc>
        <w:tc>
          <w:tcPr>
            <w:tcW w:w="732"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严重度</w:t>
            </w:r>
          </w:p>
        </w:tc>
        <w:tc>
          <w:tcPr>
            <w:tcW w:w="685"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概率</w:t>
            </w:r>
          </w:p>
        </w:tc>
        <w:tc>
          <w:tcPr>
            <w:tcW w:w="837"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风险水平</w:t>
            </w:r>
          </w:p>
        </w:tc>
        <w:tc>
          <w:tcPr>
            <w:tcW w:w="1321"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措施计划</w:t>
            </w:r>
          </w:p>
        </w:tc>
        <w:tc>
          <w:tcPr>
            <w:tcW w:w="872"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实施验证</w:t>
            </w:r>
          </w:p>
        </w:tc>
        <w:tc>
          <w:tcPr>
            <w:tcW w:w="830"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严重度</w:t>
            </w:r>
          </w:p>
        </w:tc>
        <w:tc>
          <w:tcPr>
            <w:tcW w:w="599"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概率</w:t>
            </w:r>
          </w:p>
        </w:tc>
        <w:tc>
          <w:tcPr>
            <w:tcW w:w="841"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风险水平</w:t>
            </w:r>
          </w:p>
        </w:tc>
        <w:tc>
          <w:tcPr>
            <w:tcW w:w="839"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严重度</w:t>
            </w:r>
          </w:p>
        </w:tc>
        <w:tc>
          <w:tcPr>
            <w:tcW w:w="840"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概率</w:t>
            </w:r>
          </w:p>
        </w:tc>
        <w:tc>
          <w:tcPr>
            <w:tcW w:w="843"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风险水平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39"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使用错误1</w:t>
            </w:r>
          </w:p>
        </w:tc>
        <w:tc>
          <w:tcPr>
            <w:tcW w:w="732"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5</w:t>
            </w:r>
          </w:p>
        </w:tc>
        <w:tc>
          <w:tcPr>
            <w:tcW w:w="685"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2</w:t>
            </w:r>
          </w:p>
        </w:tc>
        <w:tc>
          <w:tcPr>
            <w:tcW w:w="837"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10</w:t>
            </w:r>
          </w:p>
        </w:tc>
        <w:tc>
          <w:tcPr>
            <w:tcW w:w="1321"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通过说明书及瓶身提示用户：在取出检测试纸后即刻盖紧试纸容器，以便防潮保存检测试纸。</w:t>
            </w:r>
          </w:p>
        </w:tc>
        <w:tc>
          <w:tcPr>
            <w:tcW w:w="872"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已按计划实施</w:t>
            </w:r>
          </w:p>
        </w:tc>
        <w:tc>
          <w:tcPr>
            <w:tcW w:w="830"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4</w:t>
            </w:r>
          </w:p>
        </w:tc>
        <w:tc>
          <w:tcPr>
            <w:tcW w:w="599"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1</w:t>
            </w:r>
          </w:p>
        </w:tc>
        <w:tc>
          <w:tcPr>
            <w:tcW w:w="841"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4</w:t>
            </w:r>
          </w:p>
        </w:tc>
        <w:tc>
          <w:tcPr>
            <w:tcW w:w="839"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w:t>
            </w:r>
          </w:p>
        </w:tc>
        <w:tc>
          <w:tcPr>
            <w:tcW w:w="840"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w:t>
            </w:r>
          </w:p>
        </w:tc>
        <w:tc>
          <w:tcPr>
            <w:tcW w:w="843"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0" w:hRule="atLeast"/>
          <w:jc w:val="center"/>
        </w:trPr>
        <w:tc>
          <w:tcPr>
            <w:tcW w:w="839"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使用错误2</w:t>
            </w:r>
          </w:p>
        </w:tc>
        <w:tc>
          <w:tcPr>
            <w:tcW w:w="732"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5</w:t>
            </w:r>
          </w:p>
        </w:tc>
        <w:tc>
          <w:tcPr>
            <w:tcW w:w="685"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2</w:t>
            </w:r>
          </w:p>
        </w:tc>
        <w:tc>
          <w:tcPr>
            <w:tcW w:w="837"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10</w:t>
            </w:r>
          </w:p>
        </w:tc>
        <w:tc>
          <w:tcPr>
            <w:tcW w:w="1321" w:type="dxa"/>
            <w:vAlign w:val="top"/>
          </w:tcPr>
          <w:p>
            <w:pPr>
              <w:pStyle w:val="3"/>
              <w:numPr>
                <w:ilvl w:val="0"/>
                <w:numId w:val="0"/>
              </w:numPr>
              <w:spacing w:line="360" w:lineRule="auto"/>
              <w:ind w:left="0" w:leftChars="0" w:firstLine="0" w:firstLineChars="0"/>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在显示屏和说明书中提示用户：用户检测前应清洁采血部位</w:t>
            </w:r>
          </w:p>
        </w:tc>
        <w:tc>
          <w:tcPr>
            <w:tcW w:w="872"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rPr>
            </w:pPr>
            <w:r>
              <w:rPr>
                <w:rFonts w:hint="eastAsia" w:asciiTheme="minorEastAsia" w:hAnsiTheme="minorEastAsia" w:eastAsiaTheme="minorEastAsia" w:cstheme="minorEastAsia"/>
                <w:color w:val="auto"/>
                <w:sz w:val="21"/>
                <w:szCs w:val="21"/>
                <w:vertAlign w:val="baseline"/>
                <w:lang w:val="en-US" w:eastAsia="zh-CN"/>
              </w:rPr>
              <w:t>已按计划实施</w:t>
            </w:r>
          </w:p>
        </w:tc>
        <w:tc>
          <w:tcPr>
            <w:tcW w:w="830"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4</w:t>
            </w:r>
          </w:p>
        </w:tc>
        <w:tc>
          <w:tcPr>
            <w:tcW w:w="599"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1</w:t>
            </w:r>
          </w:p>
        </w:tc>
        <w:tc>
          <w:tcPr>
            <w:tcW w:w="841"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4</w:t>
            </w:r>
          </w:p>
        </w:tc>
        <w:tc>
          <w:tcPr>
            <w:tcW w:w="839"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w:t>
            </w:r>
          </w:p>
        </w:tc>
        <w:tc>
          <w:tcPr>
            <w:tcW w:w="840"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w:t>
            </w:r>
          </w:p>
        </w:tc>
        <w:tc>
          <w:tcPr>
            <w:tcW w:w="843" w:type="dxa"/>
          </w:tcPr>
          <w:p>
            <w:pPr>
              <w:pStyle w:val="3"/>
              <w:numPr>
                <w:ilvl w:val="0"/>
                <w:numId w:val="0"/>
              </w:numPr>
              <w:spacing w:line="360" w:lineRule="auto"/>
              <w:rPr>
                <w:rFonts w:hint="eastAsia" w:asciiTheme="minorEastAsia" w:hAnsiTheme="minorEastAsia" w:eastAsiaTheme="minorEastAsia" w:cstheme="minorEastAsia"/>
                <w:color w:val="auto"/>
                <w:sz w:val="21"/>
                <w:szCs w:val="21"/>
                <w:vertAlign w:val="baseline"/>
                <w:lang w:val="en-US" w:eastAsia="zh-CN"/>
              </w:rPr>
            </w:pPr>
            <w:r>
              <w:rPr>
                <w:rFonts w:hint="eastAsia" w:asciiTheme="minorEastAsia" w:hAnsiTheme="minorEastAsia" w:eastAsiaTheme="minorEastAsia" w:cstheme="minorEastAsia"/>
                <w:color w:val="auto"/>
                <w:sz w:val="21"/>
                <w:szCs w:val="21"/>
                <w:vertAlign w:val="baseline"/>
                <w:lang w:val="en-US" w:eastAsia="zh-CN"/>
              </w:rPr>
              <w:t>/</w:t>
            </w:r>
          </w:p>
        </w:tc>
      </w:tr>
      <w:bookmarkEnd w:id="10"/>
    </w:tbl>
    <w:p>
      <w:pPr>
        <w:pStyle w:val="3"/>
        <w:numPr>
          <w:ilvl w:val="0"/>
          <w:numId w:val="0"/>
        </w:numPr>
        <w:spacing w:line="360" w:lineRule="auto"/>
        <w:ind w:left="425" w:leftChars="0"/>
        <w:rPr>
          <w:rFonts w:hint="eastAsia" w:asciiTheme="minorEastAsia" w:hAnsiTheme="minorEastAsia" w:eastAsiaTheme="minorEastAsia" w:cstheme="minorEastAsia"/>
          <w:color w:val="auto"/>
        </w:rPr>
      </w:pPr>
    </w:p>
    <w:p>
      <w:pPr>
        <w:pStyle w:val="3"/>
        <w:numPr>
          <w:ilvl w:val="1"/>
          <w:numId w:val="1"/>
        </w:numPr>
        <w:spacing w:line="360" w:lineRule="auto"/>
        <w:ind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风险管理文档索引。</w:t>
      </w:r>
    </w:p>
    <w:p>
      <w:pPr>
        <w:pStyle w:val="3"/>
        <w:spacing w:line="360" w:lineRule="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见风险管理文档第3章</w:t>
      </w:r>
    </w:p>
    <w:p>
      <w:pPr>
        <w:pStyle w:val="2"/>
        <w:numPr>
          <w:ilvl w:val="0"/>
          <w:numId w:val="1"/>
        </w:numPr>
        <w:spacing w:line="360" w:lineRule="auto"/>
        <w:rPr>
          <w:rFonts w:hint="eastAsia" w:asciiTheme="minorEastAsia" w:hAnsiTheme="minorEastAsia" w:eastAsiaTheme="minorEastAsia" w:cstheme="minorEastAsia"/>
          <w:color w:val="auto"/>
        </w:rPr>
      </w:pPr>
      <w:bookmarkStart w:id="9" w:name="_Toc1672"/>
      <w:r>
        <w:rPr>
          <w:rFonts w:hint="eastAsia" w:asciiTheme="minorEastAsia" w:hAnsiTheme="minorEastAsia" w:eastAsiaTheme="minorEastAsia" w:cstheme="minorEastAsia"/>
          <w:color w:val="auto"/>
        </w:rPr>
        <w:t>结论</w:t>
      </w:r>
      <w:bookmarkEnd w:id="9"/>
    </w:p>
    <w:p>
      <w:pPr>
        <w:pStyle w:val="3"/>
        <w:spacing w:line="360" w:lineRule="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血糖仪综合剩余适用风险已降至可接受水平，用户界面安全有效性满足要求。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6340342"/>
      <w:docPartObj>
        <w:docPartGallery w:val="autotext"/>
      </w:docPartObj>
    </w:sdtPr>
    <w:sdtContent>
      <w:sdt>
        <w:sdtPr>
          <w:id w:val="1728636285"/>
          <w:docPartObj>
            <w:docPartGallery w:val="autotext"/>
          </w:docPartObj>
        </w:sdtPr>
        <w:sdtContent>
          <w:p>
            <w:pPr>
              <w:pStyle w:val="5"/>
              <w:jc w:val="center"/>
            </w:pPr>
            <w:r>
              <w:rPr>
                <w:lang w:val="zh-CN"/>
              </w:rPr>
              <w:t xml:space="preserve"> </w:t>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29ED8"/>
    <w:multiLevelType w:val="singleLevel"/>
    <w:tmpl w:val="8BD29ED8"/>
    <w:lvl w:ilvl="0" w:tentative="0">
      <w:start w:val="1"/>
      <w:numFmt w:val="decimal"/>
      <w:suff w:val="nothing"/>
      <w:lvlText w:val="%1）"/>
      <w:lvlJc w:val="left"/>
    </w:lvl>
  </w:abstractNum>
  <w:abstractNum w:abstractNumId="1">
    <w:nsid w:val="E894623F"/>
    <w:multiLevelType w:val="singleLevel"/>
    <w:tmpl w:val="E894623F"/>
    <w:lvl w:ilvl="0" w:tentative="0">
      <w:start w:val="2"/>
      <w:numFmt w:val="decimal"/>
      <w:suff w:val="nothing"/>
      <w:lvlText w:val="%1）"/>
      <w:lvlJc w:val="left"/>
    </w:lvl>
  </w:abstractNum>
  <w:abstractNum w:abstractNumId="2">
    <w:nsid w:val="40861481"/>
    <w:multiLevelType w:val="multilevel"/>
    <w:tmpl w:val="40861481"/>
    <w:lvl w:ilvl="0" w:tentative="0">
      <w:start w:val="1"/>
      <w:numFmt w:val="decimal"/>
      <w:lvlText w:val="%1."/>
      <w:lvlJc w:val="left"/>
      <w:pPr>
        <w:ind w:left="425" w:hanging="425"/>
      </w:pPr>
      <w:rPr>
        <w:rFonts w:hint="eastAsia"/>
      </w:rPr>
    </w:lvl>
    <w:lvl w:ilvl="1" w:tentative="0">
      <w:start w:val="1"/>
      <w:numFmt w:val="decimal"/>
      <w:lvlText w:val="%1.%2"/>
      <w:lvlJc w:val="left"/>
      <w:pPr>
        <w:ind w:left="425" w:firstLine="0"/>
      </w:pPr>
      <w:rPr>
        <w:rFonts w:hint="eastAsia"/>
      </w:rPr>
    </w:lvl>
    <w:lvl w:ilvl="2" w:tentative="0">
      <w:start w:val="1"/>
      <w:numFmt w:val="decimal"/>
      <w:lvlText w:val="%1.%2.%3"/>
      <w:lvlJc w:val="left"/>
      <w:pPr>
        <w:ind w:left="425" w:firstLine="0"/>
      </w:pPr>
      <w:rPr>
        <w:rFonts w:hint="eastAsia"/>
      </w:rPr>
    </w:lvl>
    <w:lvl w:ilvl="3" w:tentative="0">
      <w:start w:val="1"/>
      <w:numFmt w:val="decimal"/>
      <w:lvlText w:val="%1.%2.%3.%4"/>
      <w:lvlJc w:val="left"/>
      <w:pPr>
        <w:ind w:left="425" w:firstLine="0"/>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hODhiOGNiNTE3M2NmMTMwMGQxYWVjYWUxMDQyYTkifQ=="/>
  </w:docVars>
  <w:rsids>
    <w:rsidRoot w:val="00000000"/>
    <w:rsid w:val="0CDB212F"/>
    <w:rsid w:val="1A58610F"/>
    <w:rsid w:val="1ADC289C"/>
    <w:rsid w:val="1F820456"/>
    <w:rsid w:val="24254B47"/>
    <w:rsid w:val="24BF2DD6"/>
    <w:rsid w:val="2BFE7B0C"/>
    <w:rsid w:val="2CB27900"/>
    <w:rsid w:val="2ED4461E"/>
    <w:rsid w:val="31D5422A"/>
    <w:rsid w:val="334716C0"/>
    <w:rsid w:val="446A6F93"/>
    <w:rsid w:val="4E42648D"/>
    <w:rsid w:val="55945546"/>
    <w:rsid w:val="59742A3C"/>
    <w:rsid w:val="5A6E2809"/>
    <w:rsid w:val="62D578C9"/>
    <w:rsid w:val="62F30D61"/>
    <w:rsid w:val="655F3933"/>
    <w:rsid w:val="6ADB68D4"/>
    <w:rsid w:val="6BDA3EC9"/>
    <w:rsid w:val="7DF20A9D"/>
    <w:rsid w:val="7E051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qFormat/>
    <w:uiPriority w:val="9"/>
    <w:pPr>
      <w:adjustRightInd w:val="0"/>
      <w:snapToGrid w:val="0"/>
      <w:spacing w:before="312" w:beforeLines="100" w:line="360" w:lineRule="auto"/>
      <w:outlineLvl w:val="0"/>
    </w:pPr>
    <w:rPr>
      <w:rFonts w:cs="Times New Roman" w:asciiTheme="minorEastAsia" w:hAnsiTheme="minorEastAsia"/>
      <w:b/>
      <w:sz w:val="28"/>
      <w:szCs w:val="28"/>
    </w:rPr>
  </w:style>
  <w:style w:type="paragraph" w:styleId="4">
    <w:name w:val="heading 2"/>
    <w:basedOn w:val="3"/>
    <w:next w:val="1"/>
    <w:unhideWhenUsed/>
    <w:qFormat/>
    <w:uiPriority w:val="9"/>
    <w:pPr>
      <w:outlineLvl w:val="1"/>
    </w:pPr>
    <w:rPr>
      <w:rFonts w:cstheme="majorBidi"/>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3">
    <w:name w:val="正文中文"/>
    <w:basedOn w:val="1"/>
    <w:qFormat/>
    <w:uiPriority w:val="0"/>
    <w:pPr>
      <w:spacing w:line="360" w:lineRule="auto"/>
      <w:ind w:firstLine="480" w:firstLineChars="200"/>
    </w:pPr>
    <w:rPr>
      <w:rFonts w:cs="Times New Roman" w:asciiTheme="minorEastAsia" w:hAnsiTheme="minorEastAsia"/>
      <w:sz w:val="24"/>
      <w:szCs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Title"/>
    <w:basedOn w:val="1"/>
    <w:next w:val="1"/>
    <w:qFormat/>
    <w:uiPriority w:val="10"/>
    <w:pPr>
      <w:spacing w:before="312" w:beforeLines="100"/>
      <w:jc w:val="center"/>
    </w:pPr>
    <w:rPr>
      <w:rFonts w:eastAsia="黑体"/>
      <w:b/>
      <w:sz w:val="30"/>
      <w:szCs w:val="30"/>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026E5" w:themeColor="hyperlink"/>
      <w:u w:val="single"/>
      <w14:textFill>
        <w14:solidFill>
          <w14:schemeClr w14:val="hlink"/>
        </w14:solidFill>
      </w14:textFill>
    </w:rPr>
  </w:style>
  <w:style w:type="paragraph" w:customStyle="1" w:styleId="14">
    <w:name w:val="TOC Heading"/>
    <w:basedOn w:val="2"/>
    <w:next w:val="1"/>
    <w:unhideWhenUsed/>
    <w:qFormat/>
    <w:uiPriority w:val="39"/>
    <w:pPr>
      <w:keepNext/>
      <w:keepLines/>
      <w:widowControl/>
      <w:adjustRightInd/>
      <w:snapToGrid/>
      <w:spacing w:before="240" w:beforeLines="0" w:line="259" w:lineRule="auto"/>
      <w:jc w:val="left"/>
      <w:outlineLvl w:val="9"/>
    </w:pPr>
    <w:rPr>
      <w:rFonts w:asciiTheme="majorHAnsi" w:hAnsiTheme="majorHAnsi" w:eastAsiaTheme="majorEastAsia" w:cstheme="majorBidi"/>
      <w:b w:val="0"/>
      <w:color w:val="2E54A1" w:themeColor="accent1" w:themeShade="BF"/>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2024-10-09T07:57:00Z</dcterms:created>
  <dc:creator>HW</dc:creator>
  <cp:lastModifiedBy>HW</cp:lastModifiedBy>
  <dcterms:modified xsi:type="dcterms:W3CDTF">2024-10-21T08:17:09Z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835BB52D13854513A012EE45470EE80A_12</vt:lpwstr>
  </property>
</Properties>
</file>