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sz w:val="72"/>
          <w:szCs w:val="72"/>
        </w:rPr>
      </w:pPr>
    </w:p>
    <w:p>
      <w:pPr>
        <w:jc w:val="center"/>
        <w:rPr>
          <w:rFonts w:ascii="宋体" w:hAnsi="宋体" w:eastAsia="宋体"/>
          <w:b/>
          <w:bCs/>
          <w:sz w:val="72"/>
          <w:szCs w:val="72"/>
        </w:rPr>
      </w:pPr>
    </w:p>
    <w:p>
      <w:pPr>
        <w:jc w:val="center"/>
        <w:rPr>
          <w:rFonts w:ascii="宋体" w:hAnsi="宋体" w:eastAsia="宋体"/>
          <w:b/>
          <w:bCs/>
          <w:sz w:val="72"/>
          <w:szCs w:val="72"/>
        </w:rPr>
      </w:pPr>
    </w:p>
    <w:p>
      <w:pPr>
        <w:jc w:val="center"/>
        <w:rPr>
          <w:rFonts w:ascii="宋体" w:hAnsi="宋体" w:eastAsia="宋体"/>
          <w:b/>
          <w:bCs/>
          <w:sz w:val="72"/>
          <w:szCs w:val="72"/>
        </w:rPr>
      </w:pPr>
      <w:r>
        <w:rPr>
          <w:rFonts w:hint="eastAsia" w:ascii="宋体" w:hAnsi="宋体" w:eastAsia="宋体"/>
          <w:b/>
          <w:bCs/>
          <w:sz w:val="72"/>
          <w:szCs w:val="72"/>
        </w:rPr>
        <w:t>使用错误评估报告</w:t>
      </w:r>
    </w:p>
    <w:p>
      <w:pPr>
        <w:jc w:val="center"/>
        <w:rPr>
          <w:b/>
          <w:bCs/>
          <w:sz w:val="36"/>
          <w:szCs w:val="36"/>
        </w:rPr>
      </w:pPr>
    </w:p>
    <w:p>
      <w:pPr>
        <w:ind w:left="1680" w:leftChars="800"/>
        <w:rPr>
          <w:b/>
          <w:bCs/>
          <w:sz w:val="36"/>
          <w:szCs w:val="36"/>
        </w:rPr>
      </w:pPr>
      <w:r>
        <w:rPr>
          <w:rFonts w:hint="eastAsia"/>
          <w:b/>
          <w:bCs/>
          <w:sz w:val="36"/>
          <w:szCs w:val="36"/>
        </w:rPr>
        <w:t xml:space="preserve">项 </w:t>
      </w:r>
      <w:r>
        <w:rPr>
          <w:b/>
          <w:bCs/>
          <w:sz w:val="36"/>
          <w:szCs w:val="36"/>
        </w:rPr>
        <w:t xml:space="preserve">   </w:t>
      </w:r>
      <w:r>
        <w:rPr>
          <w:rFonts w:hint="eastAsia"/>
          <w:b/>
          <w:bCs/>
          <w:sz w:val="36"/>
          <w:szCs w:val="36"/>
        </w:rPr>
        <w:t>目：</w:t>
      </w:r>
      <w:r>
        <w:rPr>
          <w:b/>
          <w:bCs/>
          <w:sz w:val="36"/>
          <w:szCs w:val="36"/>
        </w:rPr>
        <w:t xml:space="preserve"> </w:t>
      </w:r>
    </w:p>
    <w:p>
      <w:pPr>
        <w:ind w:left="1680" w:leftChars="800"/>
        <w:rPr>
          <w:b/>
          <w:bCs/>
          <w:sz w:val="36"/>
          <w:szCs w:val="36"/>
        </w:rPr>
      </w:pPr>
      <w:r>
        <w:rPr>
          <w:b/>
          <w:bCs/>
          <w:sz w:val="36"/>
          <w:szCs w:val="36"/>
        </w:rPr>
        <w:t>文件编号：</w:t>
      </w:r>
    </w:p>
    <w:p>
      <w:pPr>
        <w:rPr>
          <w:b/>
          <w:bCs/>
          <w:sz w:val="36"/>
          <w:szCs w:val="36"/>
        </w:rPr>
      </w:pPr>
    </w:p>
    <w:p>
      <w:pPr>
        <w:rPr>
          <w:b/>
          <w:bCs/>
          <w:sz w:val="36"/>
          <w:szCs w:val="36"/>
        </w:rPr>
      </w:pPr>
    </w:p>
    <w:p>
      <w:pPr>
        <w:rPr>
          <w:b/>
          <w:bCs/>
          <w:sz w:val="36"/>
          <w:szCs w:val="36"/>
        </w:rPr>
      </w:pPr>
    </w:p>
    <w:p>
      <w:pPr>
        <w:ind w:left="1050" w:leftChars="500"/>
        <w:rPr>
          <w:b/>
          <w:bCs/>
          <w:sz w:val="36"/>
          <w:szCs w:val="36"/>
        </w:rPr>
      </w:pPr>
      <w:r>
        <w:rPr>
          <w:b/>
          <w:bCs/>
          <w:sz w:val="36"/>
          <w:szCs w:val="36"/>
        </w:rPr>
        <w:t>编  制</w:t>
      </w:r>
      <w:r>
        <w:rPr>
          <w:rFonts w:hint="eastAsia"/>
          <w:b/>
          <w:bCs/>
          <w:sz w:val="36"/>
          <w:szCs w:val="36"/>
        </w:rPr>
        <w:t>/</w:t>
      </w:r>
      <w:r>
        <w:rPr>
          <w:b/>
          <w:bCs/>
          <w:sz w:val="36"/>
          <w:szCs w:val="36"/>
        </w:rPr>
        <w:t>日  期：</w:t>
      </w:r>
    </w:p>
    <w:p>
      <w:pPr>
        <w:ind w:left="1050" w:leftChars="500"/>
        <w:rPr>
          <w:b/>
          <w:bCs/>
          <w:sz w:val="36"/>
          <w:szCs w:val="36"/>
        </w:rPr>
      </w:pPr>
      <w:r>
        <w:rPr>
          <w:b/>
          <w:bCs/>
          <w:sz w:val="36"/>
          <w:szCs w:val="36"/>
        </w:rPr>
        <w:t>审  核</w:t>
      </w:r>
      <w:r>
        <w:rPr>
          <w:rFonts w:hint="eastAsia"/>
          <w:b/>
          <w:bCs/>
          <w:sz w:val="36"/>
          <w:szCs w:val="36"/>
        </w:rPr>
        <w:t>/</w:t>
      </w:r>
      <w:r>
        <w:rPr>
          <w:b/>
          <w:bCs/>
          <w:sz w:val="36"/>
          <w:szCs w:val="36"/>
        </w:rPr>
        <w:t>日  期：</w:t>
      </w:r>
    </w:p>
    <w:p>
      <w:pPr>
        <w:ind w:left="1050" w:leftChars="500"/>
        <w:rPr>
          <w:b/>
          <w:bCs/>
          <w:sz w:val="36"/>
          <w:szCs w:val="36"/>
        </w:rPr>
      </w:pPr>
      <w:r>
        <w:rPr>
          <w:b/>
          <w:bCs/>
          <w:sz w:val="36"/>
          <w:szCs w:val="36"/>
        </w:rPr>
        <w:t>批  准</w:t>
      </w:r>
      <w:r>
        <w:rPr>
          <w:rFonts w:hint="eastAsia"/>
          <w:b/>
          <w:bCs/>
          <w:sz w:val="36"/>
          <w:szCs w:val="36"/>
        </w:rPr>
        <w:t>/</w:t>
      </w:r>
      <w:r>
        <w:rPr>
          <w:b/>
          <w:bCs/>
          <w:sz w:val="36"/>
          <w:szCs w:val="36"/>
        </w:rPr>
        <w:t>日  期：</w:t>
      </w:r>
    </w:p>
    <w:p>
      <w:r>
        <w:br w:type="page"/>
      </w:r>
    </w:p>
    <w:sdt>
      <w:sdtPr>
        <w:rPr>
          <w:rFonts w:asciiTheme="minorHAnsi" w:hAnsiTheme="minorHAnsi" w:eastAsiaTheme="minorEastAsia" w:cstheme="minorBidi"/>
          <w:color w:val="auto"/>
          <w:kern w:val="2"/>
          <w:sz w:val="21"/>
          <w:szCs w:val="22"/>
          <w:lang w:val="zh-CN"/>
        </w:rPr>
        <w:id w:val="970555198"/>
        <w:docPartObj>
          <w:docPartGallery w:val="Table of Contents"/>
          <w:docPartUnique/>
        </w:docPartObj>
      </w:sdtPr>
      <w:sdtEndPr>
        <w:rPr>
          <w:rFonts w:asciiTheme="minorHAnsi" w:hAnsiTheme="minorHAnsi" w:eastAsiaTheme="minorEastAsia" w:cstheme="minorBidi"/>
          <w:b/>
          <w:bCs/>
          <w:color w:val="auto"/>
          <w:kern w:val="2"/>
          <w:sz w:val="21"/>
          <w:szCs w:val="22"/>
          <w:lang w:val="zh-CN"/>
        </w:rPr>
      </w:sdtEndPr>
      <w:sdtContent>
        <w:p>
          <w:pPr>
            <w:pStyle w:val="14"/>
            <w:jc w:val="center"/>
          </w:pPr>
          <w:r>
            <w:rPr>
              <w:lang w:val="zh-CN"/>
            </w:rPr>
            <w:t>目录</w:t>
          </w:r>
        </w:p>
        <w:p>
          <w:pPr>
            <w:pStyle w:val="7"/>
            <w:tabs>
              <w:tab w:val="right" w:leader="dot" w:pos="8306"/>
            </w:tabs>
          </w:pPr>
          <w:r>
            <w:fldChar w:fldCharType="begin"/>
          </w:r>
          <w:r>
            <w:instrText xml:space="preserve"> TOC \o "1-3" \h \z \u </w:instrText>
          </w:r>
          <w:r>
            <w:fldChar w:fldCharType="separate"/>
          </w:r>
          <w:r>
            <w:fldChar w:fldCharType="begin"/>
          </w:r>
          <w:r>
            <w:instrText xml:space="preserve"> HYPERLINK \l _Toc10957 </w:instrText>
          </w:r>
          <w:r>
            <w:fldChar w:fldCharType="separate"/>
          </w:r>
          <w:r>
            <w:rPr>
              <w:rFonts w:hint="eastAsia"/>
            </w:rPr>
            <w:t>1. 基本信息</w:t>
          </w:r>
          <w:r>
            <w:tab/>
          </w:r>
          <w:r>
            <w:fldChar w:fldCharType="begin"/>
          </w:r>
          <w:r>
            <w:instrText xml:space="preserve"> PAGEREF _Toc10957 \h </w:instrText>
          </w:r>
          <w:r>
            <w:fldChar w:fldCharType="separate"/>
          </w:r>
          <w:r>
            <w:t>3</w:t>
          </w:r>
          <w:r>
            <w:fldChar w:fldCharType="end"/>
          </w:r>
          <w:r>
            <w:fldChar w:fldCharType="end"/>
          </w:r>
        </w:p>
        <w:p>
          <w:pPr>
            <w:pStyle w:val="7"/>
            <w:tabs>
              <w:tab w:val="right" w:leader="dot" w:pos="8306"/>
            </w:tabs>
          </w:pPr>
          <w:r>
            <w:rPr>
              <w:bCs/>
              <w:lang w:val="zh-CN"/>
            </w:rPr>
            <w:fldChar w:fldCharType="begin"/>
          </w:r>
          <w:r>
            <w:rPr>
              <w:bCs/>
              <w:lang w:val="zh-CN"/>
            </w:rPr>
            <w:instrText xml:space="preserve"> HYPERLINK \l _Toc12066 </w:instrText>
          </w:r>
          <w:r>
            <w:rPr>
              <w:bCs/>
              <w:lang w:val="zh-CN"/>
            </w:rPr>
            <w:fldChar w:fldCharType="separate"/>
          </w:r>
          <w:r>
            <w:rPr>
              <w:rFonts w:hint="eastAsia"/>
            </w:rPr>
            <w:t>2. 使用风险级别</w:t>
          </w:r>
          <w:r>
            <w:tab/>
          </w:r>
          <w:r>
            <w:fldChar w:fldCharType="begin"/>
          </w:r>
          <w:r>
            <w:instrText xml:space="preserve"> PAGEREF _Toc12066 \h </w:instrText>
          </w:r>
          <w:r>
            <w:fldChar w:fldCharType="separate"/>
          </w:r>
          <w:r>
            <w:t>3</w:t>
          </w:r>
          <w:r>
            <w:fldChar w:fldCharType="end"/>
          </w:r>
          <w:r>
            <w:rPr>
              <w:bCs/>
              <w:lang w:val="zh-CN"/>
            </w:rPr>
            <w:fldChar w:fldCharType="end"/>
          </w:r>
        </w:p>
        <w:p>
          <w:pPr>
            <w:pStyle w:val="7"/>
            <w:tabs>
              <w:tab w:val="right" w:leader="dot" w:pos="8306"/>
            </w:tabs>
          </w:pPr>
          <w:r>
            <w:rPr>
              <w:bCs/>
              <w:lang w:val="zh-CN"/>
            </w:rPr>
            <w:fldChar w:fldCharType="begin"/>
          </w:r>
          <w:r>
            <w:rPr>
              <w:bCs/>
              <w:lang w:val="zh-CN"/>
            </w:rPr>
            <w:instrText xml:space="preserve"> HYPERLINK \l _Toc11558 </w:instrText>
          </w:r>
          <w:r>
            <w:rPr>
              <w:bCs/>
              <w:lang w:val="zh-CN"/>
            </w:rPr>
            <w:fldChar w:fldCharType="separate"/>
          </w:r>
          <w:r>
            <w:rPr>
              <w:rFonts w:hint="eastAsia"/>
            </w:rPr>
            <w:t>3. 核心要素</w:t>
          </w:r>
          <w:r>
            <w:tab/>
          </w:r>
          <w:r>
            <w:fldChar w:fldCharType="begin"/>
          </w:r>
          <w:r>
            <w:instrText xml:space="preserve"> PAGEREF _Toc11558 \h </w:instrText>
          </w:r>
          <w:r>
            <w:fldChar w:fldCharType="separate"/>
          </w:r>
          <w:r>
            <w:t>4</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_Toc21438 </w:instrText>
          </w:r>
          <w:r>
            <w:rPr>
              <w:bCs/>
              <w:lang w:val="zh-CN"/>
            </w:rPr>
            <w:fldChar w:fldCharType="separate"/>
          </w:r>
          <w:r>
            <w:rPr>
              <w:rFonts w:hint="eastAsia"/>
            </w:rPr>
            <w:t>3.1 用户/用户组：</w:t>
          </w:r>
          <w:r>
            <w:tab/>
          </w:r>
          <w:r>
            <w:fldChar w:fldCharType="begin"/>
          </w:r>
          <w:r>
            <w:instrText xml:space="preserve"> PAGEREF _Toc21438 \h </w:instrText>
          </w:r>
          <w:r>
            <w:fldChar w:fldCharType="separate"/>
          </w:r>
          <w:r>
            <w:t>4</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_Toc30976 </w:instrText>
          </w:r>
          <w:r>
            <w:rPr>
              <w:bCs/>
              <w:lang w:val="zh-CN"/>
            </w:rPr>
            <w:fldChar w:fldCharType="separate"/>
          </w:r>
          <w:r>
            <w:rPr>
              <w:rFonts w:hint="eastAsia"/>
            </w:rPr>
            <w:t>3.2 使用场景/操作任务：</w:t>
          </w:r>
          <w:r>
            <w:tab/>
          </w:r>
          <w:r>
            <w:fldChar w:fldCharType="begin"/>
          </w:r>
          <w:r>
            <w:instrText xml:space="preserve"> PAGEREF _Toc30976 \h </w:instrText>
          </w:r>
          <w:r>
            <w:fldChar w:fldCharType="separate"/>
          </w:r>
          <w:r>
            <w:t>4</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_Toc3402 </w:instrText>
          </w:r>
          <w:r>
            <w:rPr>
              <w:bCs/>
              <w:lang w:val="zh-CN"/>
            </w:rPr>
            <w:fldChar w:fldCharType="separate"/>
          </w:r>
          <w:r>
            <w:rPr>
              <w:rFonts w:hint="eastAsia"/>
            </w:rPr>
            <w:t>3.3 用户界面：</w:t>
          </w:r>
          <w:r>
            <w:tab/>
          </w:r>
          <w:r>
            <w:fldChar w:fldCharType="begin"/>
          </w:r>
          <w:r>
            <w:instrText xml:space="preserve"> PAGEREF _Toc3402 \h </w:instrText>
          </w:r>
          <w:r>
            <w:fldChar w:fldCharType="separate"/>
          </w:r>
          <w:r>
            <w:t>4</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_Toc5800 </w:instrText>
          </w:r>
          <w:r>
            <w:rPr>
              <w:bCs/>
              <w:lang w:val="zh-CN"/>
            </w:rPr>
            <w:fldChar w:fldCharType="separate"/>
          </w:r>
          <w:r>
            <w:rPr>
              <w:rFonts w:hint="eastAsia"/>
            </w:rPr>
            <w:t>3.4 型号规格划分说明：</w:t>
          </w:r>
          <w:r>
            <w:tab/>
          </w:r>
          <w:r>
            <w:fldChar w:fldCharType="begin"/>
          </w:r>
          <w:r>
            <w:instrText xml:space="preserve"> PAGEREF _Toc5800 \h </w:instrText>
          </w:r>
          <w:r>
            <w:fldChar w:fldCharType="separate"/>
          </w:r>
          <w:r>
            <w:t>4</w:t>
          </w:r>
          <w:r>
            <w:fldChar w:fldCharType="end"/>
          </w:r>
          <w:r>
            <w:rPr>
              <w:bCs/>
              <w:lang w:val="zh-CN"/>
            </w:rPr>
            <w:fldChar w:fldCharType="end"/>
          </w:r>
        </w:p>
        <w:p>
          <w:pPr>
            <w:pStyle w:val="7"/>
            <w:tabs>
              <w:tab w:val="right" w:leader="dot" w:pos="8306"/>
            </w:tabs>
          </w:pPr>
          <w:r>
            <w:rPr>
              <w:bCs/>
              <w:lang w:val="zh-CN"/>
            </w:rPr>
            <w:fldChar w:fldCharType="begin"/>
          </w:r>
          <w:r>
            <w:rPr>
              <w:bCs/>
              <w:lang w:val="zh-CN"/>
            </w:rPr>
            <w:instrText xml:space="preserve"> HYPERLINK \l _Toc28815 </w:instrText>
          </w:r>
          <w:r>
            <w:rPr>
              <w:bCs/>
              <w:lang w:val="zh-CN"/>
            </w:rPr>
            <w:fldChar w:fldCharType="separate"/>
          </w:r>
          <w:r>
            <w:rPr>
              <w:rFonts w:hint="eastAsia"/>
            </w:rPr>
            <w:t>4. 同类医疗器械上市后使用问题分析</w:t>
          </w:r>
          <w:r>
            <w:tab/>
          </w:r>
          <w:r>
            <w:fldChar w:fldCharType="begin"/>
          </w:r>
          <w:r>
            <w:instrText xml:space="preserve"> PAGEREF _Toc28815 \h </w:instrText>
          </w:r>
          <w:r>
            <w:fldChar w:fldCharType="separate"/>
          </w:r>
          <w:r>
            <w:t>4</w:t>
          </w:r>
          <w:r>
            <w:fldChar w:fldCharType="end"/>
          </w:r>
          <w:r>
            <w:rPr>
              <w:bCs/>
              <w:lang w:val="zh-CN"/>
            </w:rPr>
            <w:fldChar w:fldCharType="end"/>
          </w:r>
        </w:p>
        <w:p>
          <w:pPr>
            <w:pStyle w:val="7"/>
            <w:tabs>
              <w:tab w:val="right" w:leader="dot" w:pos="8306"/>
            </w:tabs>
          </w:pPr>
          <w:r>
            <w:rPr>
              <w:bCs/>
              <w:lang w:val="zh-CN"/>
            </w:rPr>
            <w:fldChar w:fldCharType="begin"/>
          </w:r>
          <w:r>
            <w:rPr>
              <w:bCs/>
              <w:lang w:val="zh-CN"/>
            </w:rPr>
            <w:instrText xml:space="preserve"> HYPERLINK \l _Toc26310 </w:instrText>
          </w:r>
          <w:r>
            <w:rPr>
              <w:bCs/>
              <w:lang w:val="zh-CN"/>
            </w:rPr>
            <w:fldChar w:fldCharType="separate"/>
          </w:r>
          <w:r>
            <w:rPr>
              <w:rFonts w:hint="eastAsia"/>
            </w:rPr>
            <w:t>5. 使用风险管理</w:t>
          </w:r>
          <w:r>
            <w:tab/>
          </w:r>
          <w:r>
            <w:fldChar w:fldCharType="begin"/>
          </w:r>
          <w:r>
            <w:instrText xml:space="preserve"> PAGEREF _Toc26310 \h </w:instrText>
          </w:r>
          <w:r>
            <w:fldChar w:fldCharType="separate"/>
          </w:r>
          <w:r>
            <w:t>6</w:t>
          </w:r>
          <w:r>
            <w:fldChar w:fldCharType="end"/>
          </w:r>
          <w:r>
            <w:rPr>
              <w:bCs/>
              <w:lang w:val="zh-CN"/>
            </w:rPr>
            <w:fldChar w:fldCharType="end"/>
          </w:r>
        </w:p>
        <w:p>
          <w:pPr>
            <w:pStyle w:val="7"/>
            <w:tabs>
              <w:tab w:val="right" w:leader="dot" w:pos="8306"/>
            </w:tabs>
          </w:pPr>
          <w:r>
            <w:rPr>
              <w:bCs/>
              <w:lang w:val="zh-CN"/>
            </w:rPr>
            <w:fldChar w:fldCharType="begin"/>
          </w:r>
          <w:r>
            <w:rPr>
              <w:bCs/>
              <w:lang w:val="zh-CN"/>
            </w:rPr>
            <w:instrText xml:space="preserve"> HYPERLINK \l _Toc1672 </w:instrText>
          </w:r>
          <w:r>
            <w:rPr>
              <w:bCs/>
              <w:lang w:val="zh-CN"/>
            </w:rPr>
            <w:fldChar w:fldCharType="separate"/>
          </w:r>
          <w:r>
            <w:rPr>
              <w:rFonts w:hint="eastAsia"/>
            </w:rPr>
            <w:t xml:space="preserve">6. </w:t>
          </w:r>
          <w:r>
            <w:t>结论</w:t>
          </w:r>
          <w:r>
            <w:tab/>
          </w:r>
          <w:r>
            <w:fldChar w:fldCharType="begin"/>
          </w:r>
          <w:r>
            <w:instrText xml:space="preserve"> PAGEREF _Toc1672 \h </w:instrText>
          </w:r>
          <w:r>
            <w:fldChar w:fldCharType="separate"/>
          </w:r>
          <w:r>
            <w:t>6</w:t>
          </w:r>
          <w:r>
            <w:fldChar w:fldCharType="end"/>
          </w:r>
          <w:r>
            <w:rPr>
              <w:bCs/>
              <w:lang w:val="zh-CN"/>
            </w:rPr>
            <w:fldChar w:fldCharType="end"/>
          </w:r>
        </w:p>
        <w:p>
          <w:r>
            <w:rPr>
              <w:bCs/>
              <w:lang w:val="zh-CN"/>
            </w:rPr>
            <w:fldChar w:fldCharType="end"/>
          </w:r>
        </w:p>
      </w:sdtContent>
    </w:sdt>
    <w:p>
      <w:pPr>
        <w:widowControl/>
        <w:tabs>
          <w:tab w:val="left" w:pos="2438"/>
        </w:tabs>
        <w:ind w:firstLine="420" w:firstLineChars="200"/>
        <w:jc w:val="left"/>
      </w:pPr>
      <w:r>
        <w:tab/>
      </w:r>
    </w:p>
    <w:p/>
    <w:p>
      <w:pPr>
        <w:sectPr>
          <w:footerReference r:id="rId3" w:type="default"/>
          <w:pgSz w:w="11906" w:h="16838"/>
          <w:pgMar w:top="1440" w:right="1800" w:bottom="1440" w:left="1800" w:header="851" w:footer="992" w:gutter="0"/>
          <w:cols w:space="425" w:num="1"/>
          <w:titlePg/>
          <w:docGrid w:type="lines" w:linePitch="312" w:charSpace="0"/>
        </w:sectPr>
      </w:pPr>
    </w:p>
    <w:p>
      <w:pPr>
        <w:pStyle w:val="9"/>
      </w:pPr>
      <w:r>
        <w:t>使用错误评估报告</w:t>
      </w:r>
    </w:p>
    <w:p>
      <w:pPr>
        <w:pStyle w:val="2"/>
        <w:numPr>
          <w:ilvl w:val="0"/>
          <w:numId w:val="1"/>
        </w:numPr>
      </w:pPr>
      <w:bookmarkStart w:id="0" w:name="_Toc10957"/>
      <w:r>
        <w:rPr>
          <w:rFonts w:hint="eastAsia"/>
        </w:rPr>
        <w:t>基本信息</w:t>
      </w:r>
      <w:bookmarkEnd w:id="0"/>
    </w:p>
    <w:p>
      <w:pPr>
        <w:pStyle w:val="3"/>
        <w:rPr>
          <w:rFonts w:hint="eastAsia" w:eastAsiaTheme="minorEastAsia"/>
          <w:lang w:val="en-US" w:eastAsia="zh-CN"/>
        </w:rPr>
      </w:pPr>
      <w:r>
        <w:rPr>
          <w:rFonts w:hint="eastAsia"/>
        </w:rPr>
        <w:t>名称：</w:t>
      </w:r>
    </w:p>
    <w:p>
      <w:pPr>
        <w:pStyle w:val="3"/>
      </w:pPr>
      <w:r>
        <w:rPr>
          <w:rFonts w:hint="eastAsia"/>
        </w:rPr>
        <w:t>型号规格：</w:t>
      </w:r>
    </w:p>
    <w:p>
      <w:pPr>
        <w:pStyle w:val="3"/>
      </w:pPr>
      <w:r>
        <w:rPr>
          <w:rFonts w:hint="eastAsia"/>
        </w:rPr>
        <w:t>预期用途：</w:t>
      </w:r>
    </w:p>
    <w:p>
      <w:pPr>
        <w:pStyle w:val="3"/>
      </w:pPr>
      <w:r>
        <w:rPr>
          <w:rFonts w:hint="eastAsia"/>
        </w:rPr>
        <w:t>适用人群：</w:t>
      </w:r>
    </w:p>
    <w:p>
      <w:pPr>
        <w:pStyle w:val="3"/>
      </w:pPr>
      <w:r>
        <w:rPr>
          <w:rFonts w:hint="eastAsia"/>
        </w:rPr>
        <w:t>结构组成：</w:t>
      </w:r>
    </w:p>
    <w:p>
      <w:pPr>
        <w:pStyle w:val="2"/>
        <w:numPr>
          <w:ilvl w:val="0"/>
          <w:numId w:val="1"/>
        </w:numPr>
      </w:pPr>
      <w:bookmarkStart w:id="1" w:name="_Toc12066"/>
      <w:r>
        <w:rPr>
          <w:rFonts w:hint="eastAsia"/>
        </w:rPr>
        <w:t>使用风险级别</w:t>
      </w:r>
      <w:bookmarkEnd w:id="1"/>
    </w:p>
    <w:p>
      <w:pPr>
        <w:pStyle w:val="3"/>
        <w:rPr>
          <w:rFonts w:hint="eastAsia"/>
        </w:rPr>
      </w:pPr>
      <w:r>
        <w:rPr>
          <w:rFonts w:hint="eastAsia"/>
        </w:rPr>
        <w:t>明确申报医疗器械的使用风险级别（高、中、低），并详述判定理由。</w:t>
      </w:r>
    </w:p>
    <w:p>
      <w:pPr>
        <w:pStyle w:val="3"/>
        <w:rPr>
          <w:rFonts w:hint="eastAsia"/>
          <w:lang w:eastAsia="zh-CN"/>
        </w:rPr>
      </w:pPr>
      <w:r>
        <w:rPr>
          <w:rFonts w:hint="eastAsia"/>
        </w:rPr>
        <w:t>高</w:t>
      </w:r>
      <w:r>
        <w:rPr>
          <w:rFonts w:hint="eastAsia"/>
          <w:lang w:eastAsia="zh-CN"/>
        </w:rPr>
        <w:t>：</w:t>
      </w:r>
      <w:r>
        <w:rPr>
          <w:rFonts w:hint="eastAsia"/>
        </w:rPr>
        <w:t>错误使用可能导致严重伤害或死亡</w:t>
      </w:r>
      <w:r>
        <w:rPr>
          <w:rFonts w:hint="eastAsia"/>
          <w:lang w:eastAsia="zh-CN"/>
        </w:rPr>
        <w:t>；</w:t>
      </w:r>
    </w:p>
    <w:p>
      <w:pPr>
        <w:pStyle w:val="3"/>
        <w:rPr>
          <w:rFonts w:hint="eastAsia"/>
          <w:lang w:eastAsia="zh-CN"/>
        </w:rPr>
      </w:pPr>
      <w:r>
        <w:rPr>
          <w:rFonts w:hint="eastAsia"/>
          <w:lang w:val="en-US" w:eastAsia="zh-CN"/>
        </w:rPr>
        <w:t>中：错误使用</w:t>
      </w:r>
      <w:r>
        <w:rPr>
          <w:rFonts w:hint="eastAsia"/>
        </w:rPr>
        <w:t>可能导致轻微伤害</w:t>
      </w:r>
      <w:r>
        <w:rPr>
          <w:rFonts w:hint="eastAsia"/>
          <w:lang w:eastAsia="zh-CN"/>
        </w:rPr>
        <w:t>；</w:t>
      </w:r>
    </w:p>
    <w:p>
      <w:pPr>
        <w:pStyle w:val="3"/>
        <w:rPr>
          <w:rFonts w:hint="eastAsia"/>
        </w:rPr>
      </w:pPr>
      <w:r>
        <w:rPr>
          <w:rFonts w:hint="eastAsia"/>
          <w:lang w:val="en-US" w:eastAsia="zh-CN"/>
        </w:rPr>
        <w:t>低：错误使用</w:t>
      </w:r>
      <w:r>
        <w:rPr>
          <w:rFonts w:hint="eastAsia"/>
        </w:rPr>
        <w:t>不可能导致伤害。</w:t>
      </w:r>
    </w:p>
    <w:p>
      <w:pPr>
        <w:pStyle w:val="3"/>
        <w:rPr>
          <w:rFonts w:hint="eastAsia"/>
        </w:rPr>
      </w:pPr>
      <w:r>
        <w:rPr>
          <w:rFonts w:hint="eastAsia"/>
        </w:rPr>
        <w:t>根据关键任务的定义，高使用风险医疗器械含有关键任务，中、低使用风险医疗器械不含关键任务。</w:t>
      </w:r>
    </w:p>
    <w:p>
      <w:pPr>
        <w:pStyle w:val="3"/>
        <w:numPr>
          <w:ilvl w:val="1"/>
          <w:numId w:val="1"/>
        </w:numPr>
        <w:ind w:firstLineChars="0"/>
      </w:pPr>
      <w:r>
        <w:rPr>
          <w:rFonts w:hint="eastAsia"/>
        </w:rPr>
        <w:t>使用风险等级：</w:t>
      </w:r>
    </w:p>
    <w:p>
      <w:pPr>
        <w:pStyle w:val="3"/>
        <w:numPr>
          <w:ilvl w:val="1"/>
          <w:numId w:val="1"/>
        </w:numPr>
        <w:ind w:firstLineChars="0"/>
      </w:pPr>
      <w:r>
        <w:rPr>
          <w:rFonts w:hint="eastAsia"/>
        </w:rPr>
        <w:t>使用风险等级判定理由</w:t>
      </w:r>
      <w:r>
        <w:rPr>
          <w:rFonts w:hint="eastAsia"/>
          <w:lang w:eastAsia="zh-CN"/>
        </w:rPr>
        <w:t>（</w:t>
      </w:r>
      <w:r>
        <w:rPr>
          <w:rFonts w:hint="eastAsia"/>
          <w:lang w:val="en-US" w:eastAsia="zh-CN"/>
        </w:rPr>
        <w:t>参照《医疗器械可用性工程注册审查指导原则》第三章</w:t>
      </w:r>
      <w:r>
        <w:rPr>
          <w:rFonts w:hint="eastAsia"/>
          <w:lang w:eastAsia="zh-CN"/>
        </w:rPr>
        <w:t>）</w:t>
      </w:r>
      <w:r>
        <w:rPr>
          <w:rFonts w:hint="eastAsia"/>
        </w:rPr>
        <w:t>：</w:t>
      </w:r>
    </w:p>
    <w:p>
      <w:pPr>
        <w:pStyle w:val="3"/>
        <w:rPr>
          <w:rFonts w:hint="eastAsia"/>
          <w:lang w:val="en-US" w:eastAsia="zh-CN"/>
        </w:rPr>
      </w:pPr>
      <w:r>
        <w:rPr>
          <w:rFonts w:hint="eastAsia"/>
          <w:lang w:val="en-US" w:eastAsia="zh-CN"/>
        </w:rPr>
        <w:t>用户：（用户是指注册申请人所规定的与医疗器械交互的全部人员，如医务、患者、家庭护理、清洁、运输、安装、维护、维修、处置等人员。）</w:t>
      </w:r>
    </w:p>
    <w:p>
      <w:pPr>
        <w:pStyle w:val="3"/>
        <w:rPr>
          <w:rFonts w:hint="eastAsia"/>
          <w:lang w:eastAsia="zh-CN"/>
        </w:rPr>
      </w:pPr>
      <w:r>
        <w:rPr>
          <w:rFonts w:hint="eastAsia"/>
          <w:lang w:val="en-US" w:eastAsia="zh-CN"/>
        </w:rPr>
        <w:t>用户特征：</w:t>
      </w:r>
      <w:r>
        <w:rPr>
          <w:rFonts w:hint="eastAsia"/>
        </w:rPr>
        <w:t>使用场景：</w:t>
      </w:r>
      <w:r>
        <w:rPr>
          <w:rFonts w:hint="eastAsia"/>
          <w:lang w:eastAsia="zh-CN"/>
        </w:rPr>
        <w:t>（使用场景是指注册申请人所规定的医疗器械实际使用的场景因素，包括使用环境和操作任务。）</w:t>
      </w:r>
    </w:p>
    <w:p>
      <w:pPr>
        <w:pStyle w:val="3"/>
        <w:rPr>
          <w:rFonts w:hint="eastAsia"/>
          <w:lang w:val="en-US" w:eastAsia="zh-CN"/>
        </w:rPr>
      </w:pPr>
      <w:r>
        <w:rPr>
          <w:rFonts w:hint="eastAsia"/>
          <w:lang w:val="en-US" w:eastAsia="zh-CN"/>
        </w:rPr>
        <w:t>使用环境：</w:t>
      </w:r>
    </w:p>
    <w:p>
      <w:pPr>
        <w:pStyle w:val="3"/>
        <w:rPr>
          <w:rFonts w:hint="eastAsia"/>
          <w:lang w:val="en-US" w:eastAsia="zh-CN"/>
        </w:rPr>
      </w:pPr>
      <w:r>
        <w:rPr>
          <w:rFonts w:hint="eastAsia"/>
          <w:lang w:val="en-US" w:eastAsia="zh-CN"/>
        </w:rPr>
        <w:t xml:space="preserve">1）使用场所：    </w:t>
      </w:r>
    </w:p>
    <w:p>
      <w:pPr>
        <w:pStyle w:val="3"/>
        <w:numPr>
          <w:ilvl w:val="0"/>
          <w:numId w:val="2"/>
        </w:numPr>
        <w:rPr>
          <w:rFonts w:hint="eastAsia"/>
          <w:lang w:val="en-US" w:eastAsia="zh-CN"/>
        </w:rPr>
      </w:pPr>
      <w:r>
        <w:rPr>
          <w:rFonts w:hint="eastAsia"/>
          <w:lang w:val="en-US" w:eastAsia="zh-CN"/>
        </w:rPr>
        <w:t>环境条件：</w:t>
      </w:r>
    </w:p>
    <w:p>
      <w:pPr>
        <w:pStyle w:val="3"/>
        <w:numPr>
          <w:ilvl w:val="0"/>
          <w:numId w:val="0"/>
        </w:numPr>
        <w:rPr>
          <w:rFonts w:hint="default"/>
          <w:lang w:val="en-US" w:eastAsia="zh-CN"/>
        </w:rPr>
      </w:pPr>
      <w:r>
        <w:rPr>
          <w:rFonts w:hint="eastAsia"/>
          <w:lang w:val="en-US" w:eastAsia="zh-CN"/>
        </w:rPr>
        <w:t xml:space="preserve">    操作任务：</w:t>
      </w:r>
    </w:p>
    <w:p>
      <w:pPr>
        <w:pStyle w:val="3"/>
      </w:pPr>
      <w:r>
        <w:rPr>
          <w:rFonts w:hint="eastAsia"/>
        </w:rPr>
        <w:t>核心功能分析：</w:t>
      </w:r>
    </w:p>
    <w:p>
      <w:pPr>
        <w:pStyle w:val="3"/>
        <w:rPr>
          <w:rFonts w:hint="default" w:eastAsiaTheme="minorEastAsia"/>
          <w:color w:val="FF0000"/>
          <w:lang w:val="en-US" w:eastAsia="zh-CN"/>
        </w:rPr>
      </w:pPr>
      <w:r>
        <w:rPr>
          <w:rFonts w:hint="eastAsia"/>
        </w:rPr>
        <w:t>核心功能相关使用风险</w:t>
      </w:r>
      <w:r>
        <w:rPr>
          <w:rFonts w:hint="eastAsia"/>
          <w:lang w:eastAsia="zh-CN"/>
        </w:rPr>
        <w:t>：</w:t>
      </w:r>
    </w:p>
    <w:p>
      <w:pPr>
        <w:pStyle w:val="3"/>
        <w:rPr>
          <w:rFonts w:hint="eastAsia"/>
        </w:rPr>
      </w:pPr>
      <w:r>
        <w:rPr>
          <w:rFonts w:hint="eastAsia"/>
        </w:rPr>
        <w:t>用户接口设计：结合用户和使用场景开展</w:t>
      </w:r>
    </w:p>
    <w:p>
      <w:pPr>
        <w:pStyle w:val="3"/>
        <w:rPr>
          <w:rFonts w:hint="eastAsia"/>
        </w:rPr>
      </w:pPr>
      <w:r>
        <w:rPr>
          <w:rFonts w:hint="eastAsia"/>
        </w:rPr>
        <w:t>是否需要加强人因设计：特别是在采用全新使用方式、学习曲线长、非专业用户使用、生命支持、药械联用、急救、家用、适用于脆弱人群（如儿童、孕妇、老人）等情况下，需要加强人因设计。</w:t>
      </w:r>
    </w:p>
    <w:p>
      <w:pPr>
        <w:pStyle w:val="3"/>
        <w:rPr>
          <w:rFonts w:hint="eastAsia" w:eastAsiaTheme="minorEastAsia"/>
          <w:color w:val="FF0000"/>
          <w:lang w:eastAsia="zh-CN"/>
        </w:rPr>
      </w:pPr>
      <w:r>
        <w:rPr>
          <w:rFonts w:hint="eastAsia"/>
        </w:rPr>
        <w:t>任务：关键，紧急等的说明</w:t>
      </w:r>
    </w:p>
    <w:p>
      <w:pPr>
        <w:pStyle w:val="3"/>
        <w:rPr>
          <w:rFonts w:hint="eastAsia"/>
        </w:rPr>
      </w:pPr>
      <w:r>
        <w:rPr>
          <w:rFonts w:hint="eastAsia"/>
        </w:rPr>
        <w:t>同类医疗器械上市后发生与用户使用和/或用户接口设计相关的不良事件及召回等情况：经查</w:t>
      </w:r>
      <w:r>
        <w:rPr>
          <w:rFonts w:hint="eastAsia"/>
          <w:lang w:val="en-US" w:eastAsia="zh-CN"/>
        </w:rPr>
        <w:t>xxx</w:t>
      </w:r>
      <w:r>
        <w:rPr>
          <w:rFonts w:hint="eastAsia"/>
        </w:rPr>
        <w:t>，无。</w:t>
      </w:r>
    </w:p>
    <w:p>
      <w:pPr>
        <w:pStyle w:val="2"/>
        <w:numPr>
          <w:ilvl w:val="0"/>
          <w:numId w:val="1"/>
        </w:numPr>
      </w:pPr>
      <w:bookmarkStart w:id="2" w:name="_Toc11558"/>
      <w:r>
        <w:rPr>
          <w:rFonts w:hint="eastAsia"/>
        </w:rPr>
        <w:t>核心要素</w:t>
      </w:r>
      <w:bookmarkEnd w:id="2"/>
    </w:p>
    <w:p>
      <w:pPr>
        <w:pStyle w:val="3"/>
        <w:rPr>
          <w:rFonts w:hint="eastAsia"/>
        </w:rPr>
      </w:pPr>
      <w:r>
        <w:rPr>
          <w:rFonts w:hint="eastAsia"/>
        </w:rPr>
        <w:t>明确申报医疗器械的用户、使用场景、用户界面。其中，用户详述用户/用户组设置情况及其用户特征，使用场景在详述使用场所、环境条件的基础上重点阐述关键任务（若兼为紧急任务、常用任务需注明）的操作序列、预期结果，用户界面详述人机交互方式并提供用户界面图示及注释。</w:t>
      </w:r>
    </w:p>
    <w:p>
      <w:pPr>
        <w:pStyle w:val="3"/>
      </w:pPr>
      <w:r>
        <w:rPr>
          <w:rFonts w:hint="eastAsia"/>
        </w:rPr>
        <w:t>若有多个型号规格，详述在核心要素方面的差异，并开展差异影响评估。</w:t>
      </w:r>
    </w:p>
    <w:p>
      <w:pPr>
        <w:pStyle w:val="4"/>
        <w:numPr>
          <w:ilvl w:val="1"/>
          <w:numId w:val="1"/>
        </w:numPr>
        <w:ind w:firstLineChars="0"/>
        <w:rPr>
          <w:rFonts w:hint="default"/>
          <w:color w:val="auto"/>
          <w:lang w:val="en-US" w:eastAsia="zh-CN"/>
        </w:rPr>
      </w:pPr>
      <w:bookmarkStart w:id="3" w:name="_Toc21438"/>
      <w:r>
        <w:rPr>
          <w:rFonts w:hint="eastAsia"/>
          <w:color w:val="auto"/>
        </w:rPr>
        <w:t>用户/用户组：</w:t>
      </w:r>
      <w:bookmarkEnd w:id="3"/>
    </w:p>
    <w:p>
      <w:pPr>
        <w:pStyle w:val="4"/>
        <w:numPr>
          <w:ilvl w:val="1"/>
          <w:numId w:val="1"/>
        </w:numPr>
        <w:ind w:firstLineChars="0"/>
      </w:pPr>
      <w:bookmarkStart w:id="4" w:name="_Toc30976"/>
      <w:r>
        <w:rPr>
          <w:rFonts w:hint="eastAsia"/>
        </w:rPr>
        <w:t>使用场景/操作任务：</w:t>
      </w:r>
      <w:bookmarkEnd w:id="4"/>
    </w:p>
    <w:p>
      <w:pPr>
        <w:pStyle w:val="4"/>
        <w:numPr>
          <w:ilvl w:val="1"/>
          <w:numId w:val="1"/>
        </w:numPr>
        <w:ind w:firstLineChars="0"/>
      </w:pPr>
      <w:bookmarkStart w:id="5" w:name="_Toc3402"/>
      <w:r>
        <w:rPr>
          <w:rFonts w:hint="eastAsia"/>
        </w:rPr>
        <w:t>用户界面：</w:t>
      </w:r>
      <w:bookmarkEnd w:id="5"/>
    </w:p>
    <w:p>
      <w:pPr>
        <w:pStyle w:val="4"/>
        <w:numPr>
          <w:ilvl w:val="1"/>
          <w:numId w:val="1"/>
        </w:numPr>
        <w:ind w:firstLineChars="0"/>
      </w:pPr>
      <w:bookmarkStart w:id="6" w:name="_Toc5800"/>
      <w:r>
        <w:rPr>
          <w:rFonts w:hint="eastAsia"/>
        </w:rPr>
        <w:t>型号规格划分说明：</w:t>
      </w:r>
      <w:bookmarkEnd w:id="6"/>
    </w:p>
    <w:p>
      <w:pPr>
        <w:pStyle w:val="2"/>
        <w:numPr>
          <w:ilvl w:val="0"/>
          <w:numId w:val="1"/>
        </w:numPr>
      </w:pPr>
      <w:bookmarkStart w:id="7" w:name="_Toc28815"/>
      <w:r>
        <w:rPr>
          <w:rFonts w:hint="eastAsia"/>
        </w:rPr>
        <w:t>同类医疗器械上市后使用问题分析</w:t>
      </w:r>
      <w:bookmarkEnd w:id="7"/>
    </w:p>
    <w:p>
      <w:pPr>
        <w:pStyle w:val="3"/>
      </w:pPr>
      <w:r>
        <w:rPr>
          <w:rFonts w:hint="eastAsia"/>
        </w:rPr>
        <w:t>所述等效医疗器械是指与申报医疗器械在预期用途、适用人群、用户组、用户特征、使用场所、环境条件、关键任务、人机交互方式、用户培训等方面基本等同且已在境内注册上市的同类医疗器械。</w:t>
      </w:r>
    </w:p>
    <w:p>
      <w:pPr>
        <w:pStyle w:val="3"/>
      </w:pPr>
      <w:r>
        <w:rPr>
          <w:rFonts w:hint="eastAsia"/>
        </w:rPr>
        <w:t>提供同类医疗器械上市后使用问题分析报告，可参考临床文献检索报告格式，包括检索对象、检索内容、检索结果等内容。其中，检索对象提供申报产品基本信息，检索内容明确检索文献来源范围、检索时间范围、检索词、文献选择标准、检索日期、检索人员等信息，检索结果列明纳入分析的文献列表及全文并概述文献分析结论。</w:t>
      </w:r>
    </w:p>
    <w:p>
      <w:pPr>
        <w:pStyle w:val="3"/>
      </w:pPr>
      <w:r>
        <w:rPr>
          <w:rFonts w:hint="eastAsia"/>
        </w:rPr>
        <w:t>需要说明的是，检索文献来源范围覆盖全球主要医疗器械不良事件、召回数据库和国内外文献库，需考虑不良事件和召回分级的国家差异；检索时间范围根据同类医疗器械上市时间和产品特性予以考虑，一般为近五年；个案情况可予以排除，但需提供详实的数据分析。</w:t>
      </w:r>
    </w:p>
    <w:p>
      <w:pPr>
        <w:pStyle w:val="3"/>
      </w:pPr>
      <w:r>
        <w:rPr>
          <w:rFonts w:hint="eastAsia"/>
        </w:rPr>
        <w:t>医疗器械全生命周期均需考虑人因设计要求。上市前将人因设计纳入医疗器械设计开发和风险管理过程，识别可预见的使用风险并将其降至可接受水平。上市后结合医疗器械使用问题（含不良事件和召回，下同），识别前期未预见的使用风险并改进人因设计，进一步提高医疗器械使用的安全有效性。</w:t>
      </w:r>
    </w:p>
    <w:p>
      <w:pPr>
        <w:pStyle w:val="3"/>
      </w:pPr>
      <w:r>
        <w:rPr>
          <w:rFonts w:hint="eastAsia"/>
        </w:rPr>
        <w:t>首先结合上述判定要素选定申报医疗器械的等效医疗器械，然后基于上述判定要素逐项进行对比。若二者无差异，结合全球主要医疗器械不良事件、召回数据库和国内外文献综述开展同类医疗器械上市后使用问题分析，若无新增使用风险采用等效医疗器械在境内注册上市所用的总结性评价资料作为支持证据；若有新增使用风险，除以上工作外还需开展申报医疗器械针对新增使用风险的总结性评价资料。</w:t>
      </w:r>
    </w:p>
    <w:p>
      <w:pPr>
        <w:pStyle w:val="3"/>
      </w:pPr>
      <w:r>
        <w:rPr>
          <w:rFonts w:hint="eastAsia"/>
        </w:rPr>
        <w:t>若二者有差异，开展同类医疗器械上市后使用问题分析，若无新增使用风险采用等效医疗器械在境内注册上市所用的总结性评价资料作为支持证据，并提交申报医疗器械针对差异的总结性评价资料；若有新增使用风险，除以上工作外还需开展申报医疗器械针对新增使用风险的总结性评价资料。</w:t>
      </w:r>
    </w:p>
    <w:p>
      <w:pPr>
        <w:pStyle w:val="3"/>
        <w:rPr>
          <w:rFonts w:hint="eastAsia"/>
          <w:color w:val="FF0000"/>
        </w:rPr>
      </w:pPr>
      <w:r>
        <w:rPr>
          <w:rFonts w:hint="eastAsia"/>
        </w:rPr>
        <w:t>等效医疗器械对比评价需形成报告，包括但不限于评价的目的、对象、路径、支持证据、结论以及评价人员简历等内容。其中，评价对象提供产品基本信息和实物图片，评价路径包括等效医疗器械对比分析、同类医疗器械上市后使用问题分析，支持证据详见表1，评价人员需具备人因设计相关知识和工作经验，建议优先考虑医疗器械人因设计专业人士。</w:t>
      </w:r>
    </w:p>
    <w:p>
      <w:pPr>
        <w:pStyle w:val="3"/>
        <w:numPr>
          <w:ilvl w:val="2"/>
          <w:numId w:val="1"/>
        </w:numPr>
        <w:ind w:firstLineChars="0"/>
      </w:pPr>
      <w:r>
        <w:rPr>
          <w:rFonts w:hint="eastAsia"/>
        </w:rPr>
        <w:t>文件检索报告</w:t>
      </w:r>
    </w:p>
    <w:p>
      <w:pPr>
        <w:pStyle w:val="3"/>
        <w:numPr>
          <w:ilvl w:val="2"/>
          <w:numId w:val="1"/>
        </w:numPr>
        <w:ind w:firstLineChars="0"/>
      </w:pPr>
      <w:r>
        <w:rPr>
          <w:rFonts w:hint="eastAsia"/>
        </w:rPr>
        <w:t>等效医疗器械总结性评价资料</w:t>
      </w:r>
    </w:p>
    <w:p>
      <w:pPr>
        <w:pStyle w:val="3"/>
        <w:numPr>
          <w:ilvl w:val="2"/>
          <w:numId w:val="1"/>
        </w:numPr>
        <w:ind w:firstLineChars="0"/>
      </w:pPr>
      <w:r>
        <w:rPr>
          <w:rFonts w:hint="eastAsia"/>
        </w:rPr>
        <w:t>申报医疗器械针对差异的总结性评价资料 （若有）</w:t>
      </w:r>
    </w:p>
    <w:p>
      <w:pPr>
        <w:pStyle w:val="3"/>
        <w:numPr>
          <w:ilvl w:val="2"/>
          <w:numId w:val="1"/>
        </w:numPr>
        <w:ind w:firstLineChars="0"/>
      </w:pPr>
      <w:r>
        <w:rPr>
          <w:rFonts w:hint="eastAsia"/>
        </w:rPr>
        <w:t>同类医疗器械上市后使用问题分析报告（重点）</w:t>
      </w:r>
    </w:p>
    <w:p>
      <w:pPr>
        <w:pStyle w:val="2"/>
        <w:numPr>
          <w:ilvl w:val="0"/>
          <w:numId w:val="1"/>
        </w:numPr>
      </w:pPr>
      <w:bookmarkStart w:id="8" w:name="_Toc26310"/>
      <w:r>
        <w:rPr>
          <w:rFonts w:hint="eastAsia"/>
        </w:rPr>
        <w:t>使用风险管理</w:t>
      </w:r>
      <w:bookmarkEnd w:id="8"/>
    </w:p>
    <w:p>
      <w:pPr>
        <w:pStyle w:val="3"/>
      </w:pPr>
      <w:r>
        <w:rPr>
          <w:rFonts w:hint="eastAsia"/>
        </w:rPr>
        <w:t>医疗器械人因设计需结合用户、使用场景和用户接口开展风险管理，采用失效模式与效应分析（FMEA）、故障树分析（FTA）等风险分析方法及其衍生方法，通过用户接口设计（首选）、防护措施、安全信息等风险控制措施将医疗器械使用风险降至可接受水平，必要时开展用户培训，特别是对高使用风险医疗器械。</w:t>
      </w:r>
    </w:p>
    <w:p>
      <w:pPr>
        <w:overflowPunct w:val="0"/>
        <w:spacing w:line="520" w:lineRule="exact"/>
        <w:ind w:firstLine="480" w:firstLineChars="200"/>
        <w:rPr>
          <w:rFonts w:cs="Times New Roman" w:asciiTheme="minorEastAsia" w:hAnsiTheme="minorEastAsia"/>
          <w:sz w:val="24"/>
          <w:szCs w:val="24"/>
        </w:rPr>
      </w:pPr>
      <w:r>
        <w:rPr>
          <w:rFonts w:cs="Times New Roman" w:asciiTheme="minorEastAsia" w:hAnsiTheme="minorEastAsia"/>
          <w:sz w:val="24"/>
          <w:szCs w:val="24"/>
        </w:rPr>
        <w:t>提供申报医疗器械</w:t>
      </w:r>
      <w:r>
        <w:rPr>
          <w:rFonts w:hint="eastAsia" w:cs="Times New Roman" w:asciiTheme="minorEastAsia" w:hAnsiTheme="minorEastAsia"/>
          <w:sz w:val="24"/>
          <w:szCs w:val="24"/>
        </w:rPr>
        <w:t>的风险管理文档并明确使用风险管理相应内容，或者提供使用风险管理文档。</w:t>
      </w:r>
    </w:p>
    <w:p>
      <w:pPr>
        <w:overflowPunct w:val="0"/>
        <w:spacing w:line="520" w:lineRule="exact"/>
        <w:ind w:firstLine="480" w:firstLineChars="200"/>
        <w:rPr>
          <w:rFonts w:cs="Times New Roman" w:asciiTheme="minorEastAsia" w:hAnsiTheme="minorEastAsia"/>
          <w:sz w:val="24"/>
          <w:szCs w:val="24"/>
        </w:rPr>
      </w:pPr>
      <w:r>
        <w:rPr>
          <w:rFonts w:cs="Times New Roman" w:asciiTheme="minorEastAsia" w:hAnsiTheme="minorEastAsia"/>
          <w:sz w:val="24"/>
          <w:szCs w:val="24"/>
        </w:rPr>
        <w:t>使用风险管理需结合同类医疗器械上市后使用问题的分析，涵盖申报医疗器械全部已知使用错误的风险分析及其风险控制措施，确保综合剩余使用风险均可接受。</w:t>
      </w:r>
    </w:p>
    <w:p>
      <w:pPr>
        <w:pStyle w:val="3"/>
        <w:numPr>
          <w:ilvl w:val="1"/>
          <w:numId w:val="1"/>
        </w:numPr>
        <w:ind w:firstLineChars="0"/>
      </w:pPr>
      <w:r>
        <w:rPr>
          <w:rFonts w:hint="eastAsia"/>
        </w:rPr>
        <w:t>风险管理识别使用问题分析方法概述及使用问题列表。</w:t>
      </w:r>
    </w:p>
    <w:p>
      <w:pPr>
        <w:pStyle w:val="3"/>
        <w:numPr>
          <w:ilvl w:val="1"/>
          <w:numId w:val="1"/>
        </w:numPr>
        <w:ind w:firstLineChars="0"/>
      </w:pPr>
      <w:r>
        <w:rPr>
          <w:rFonts w:hint="eastAsia"/>
        </w:rPr>
        <w:t>风险控制措施前风险矩阵表/图</w:t>
      </w:r>
    </w:p>
    <w:p>
      <w:pPr>
        <w:pStyle w:val="3"/>
        <w:numPr>
          <w:ilvl w:val="1"/>
          <w:numId w:val="1"/>
        </w:numPr>
        <w:ind w:firstLineChars="0"/>
      </w:pPr>
      <w:r>
        <w:rPr>
          <w:rFonts w:hint="eastAsia"/>
        </w:rPr>
        <w:t>风险控制措施</w:t>
      </w:r>
    </w:p>
    <w:p>
      <w:pPr>
        <w:pStyle w:val="3"/>
        <w:numPr>
          <w:ilvl w:val="1"/>
          <w:numId w:val="1"/>
        </w:numPr>
        <w:ind w:firstLineChars="0"/>
      </w:pPr>
      <w:r>
        <w:rPr>
          <w:rFonts w:hint="eastAsia"/>
        </w:rPr>
        <w:t>风险控制措施后风险矩阵表/图</w:t>
      </w:r>
    </w:p>
    <w:p>
      <w:pPr>
        <w:pStyle w:val="3"/>
        <w:ind w:left="425" w:firstLine="0" w:firstLineChars="0"/>
      </w:pPr>
      <w:r>
        <w:rPr>
          <w:rFonts w:hint="eastAsia"/>
        </w:rPr>
        <w:t>（带措施方案的表）</w:t>
      </w:r>
    </w:p>
    <w:p>
      <w:pPr>
        <w:pStyle w:val="3"/>
        <w:numPr>
          <w:ilvl w:val="1"/>
          <w:numId w:val="1"/>
        </w:numPr>
        <w:ind w:firstLineChars="0"/>
      </w:pPr>
      <w:r>
        <w:rPr>
          <w:rFonts w:hint="eastAsia"/>
        </w:rPr>
        <w:t>风险管理文档索引。</w:t>
      </w:r>
    </w:p>
    <w:p>
      <w:pPr>
        <w:pStyle w:val="3"/>
        <w:rPr>
          <w:rFonts w:hint="eastAsia"/>
        </w:rPr>
      </w:pPr>
      <w:r>
        <w:rPr>
          <w:rFonts w:hint="eastAsia"/>
        </w:rPr>
        <w:t>（注意摘录风险管理报告中跟“使用”相关的所有内容）</w:t>
      </w:r>
    </w:p>
    <w:p>
      <w:pPr>
        <w:pStyle w:val="2"/>
        <w:numPr>
          <w:ilvl w:val="0"/>
          <w:numId w:val="1"/>
        </w:numPr>
      </w:pPr>
      <w:bookmarkStart w:id="9" w:name="_Toc1672"/>
      <w:bookmarkStart w:id="10" w:name="_GoBack"/>
      <w:bookmarkEnd w:id="10"/>
      <w:r>
        <w:t>结论</w:t>
      </w:r>
      <w:bookmarkEnd w:id="9"/>
    </w:p>
    <w:p>
      <w:pPr>
        <w:pStyle w:val="3"/>
      </w:pPr>
      <w:r>
        <w:t>简述申报医疗器械</w:t>
      </w:r>
      <w:r>
        <w:rPr>
          <w:rFonts w:hint="eastAsia"/>
        </w:rPr>
        <w:t>使用错误评估</w:t>
      </w:r>
      <w:r>
        <w:t>结果，</w:t>
      </w:r>
      <w:r>
        <w:rPr>
          <w:rFonts w:hint="eastAsia"/>
        </w:rPr>
        <w:t>说明</w:t>
      </w:r>
      <w:r>
        <w:t>综合剩余</w:t>
      </w:r>
      <w:r>
        <w:rPr>
          <w:rFonts w:hint="eastAsia"/>
        </w:rPr>
        <w:t>使用</w:t>
      </w:r>
      <w:r>
        <w:t>风险是否均已降至可接受水平，</w:t>
      </w:r>
      <w:r>
        <w:rPr>
          <w:rFonts w:hint="eastAsia"/>
        </w:rPr>
        <w:t>判定用户界面</w:t>
      </w:r>
      <w:r>
        <w:t>安全有效性是否满足要求。</w:t>
      </w:r>
    </w:p>
    <w:p>
      <w:pPr>
        <w:pStyle w:val="3"/>
      </w:pPr>
      <w:r>
        <w:t>若使用现成</w:t>
      </w:r>
      <w:r>
        <w:rPr>
          <w:rFonts w:hint="eastAsia"/>
        </w:rPr>
        <w:t>用户界面</w:t>
      </w:r>
      <w:r>
        <w:t>，在核心要素、同类医疗器械上市后使用问题分析、</w:t>
      </w:r>
      <w:r>
        <w:rPr>
          <w:rFonts w:hint="eastAsia"/>
        </w:rPr>
        <w:t>使用</w:t>
      </w:r>
      <w:r>
        <w:t>风险管理中予以说明。</w:t>
      </w:r>
    </w:p>
    <w:p>
      <w:pPr>
        <w:pStyle w:val="3"/>
      </w:pPr>
      <w:r>
        <w:rPr>
          <w:rFonts w:hint="eastAsia"/>
        </w:rPr>
        <w:t>重点先说明现成用户界面的引用内容，可以列表。</w:t>
      </w:r>
    </w:p>
    <w:p>
      <w:pPr>
        <w:pStyle w:val="3"/>
        <w:rPr>
          <w:rFonts w:hint="default" w:eastAsiaTheme="minorEastAsia"/>
          <w:color w:val="FF0000"/>
          <w:lang w:val="en-US" w:eastAsia="zh-CN"/>
        </w:rPr>
      </w:pPr>
      <w:r>
        <w:rPr>
          <w:rFonts w:hint="eastAsia"/>
        </w:rPr>
        <w:t>新设计及控制措施，降低剩余风险至可接受水平。</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06340342"/>
      <w:docPartObj>
        <w:docPartGallery w:val="autotext"/>
      </w:docPartObj>
    </w:sdtPr>
    <w:sdtContent>
      <w:sdt>
        <w:sdtPr>
          <w:id w:val="1728636285"/>
          <w:docPartObj>
            <w:docPartGallery w:val="autotext"/>
          </w:docPartObj>
        </w:sdtPr>
        <w:sdtContent>
          <w:p>
            <w:pPr>
              <w:pStyle w:val="5"/>
              <w:jc w:val="center"/>
            </w:pPr>
            <w:r>
              <w:rPr>
                <w:lang w:val="zh-CN"/>
              </w:rPr>
              <w:t xml:space="preserve"> </w:t>
            </w:r>
          </w:p>
        </w:sdtContent>
      </w:sdt>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94623F"/>
    <w:multiLevelType w:val="singleLevel"/>
    <w:tmpl w:val="E894623F"/>
    <w:lvl w:ilvl="0" w:tentative="0">
      <w:start w:val="2"/>
      <w:numFmt w:val="decimal"/>
      <w:suff w:val="nothing"/>
      <w:lvlText w:val="%1）"/>
      <w:lvlJc w:val="left"/>
    </w:lvl>
  </w:abstractNum>
  <w:abstractNum w:abstractNumId="1">
    <w:nsid w:val="40861481"/>
    <w:multiLevelType w:val="multilevel"/>
    <w:tmpl w:val="40861481"/>
    <w:lvl w:ilvl="0" w:tentative="0">
      <w:start w:val="1"/>
      <w:numFmt w:val="decimal"/>
      <w:lvlText w:val="%1."/>
      <w:lvlJc w:val="left"/>
      <w:pPr>
        <w:ind w:left="425" w:hanging="425"/>
      </w:pPr>
      <w:rPr>
        <w:rFonts w:hint="eastAsia"/>
      </w:rPr>
    </w:lvl>
    <w:lvl w:ilvl="1" w:tentative="0">
      <w:start w:val="1"/>
      <w:numFmt w:val="decimal"/>
      <w:lvlText w:val="%1.%2"/>
      <w:lvlJc w:val="left"/>
      <w:pPr>
        <w:ind w:left="425" w:firstLine="0"/>
      </w:pPr>
      <w:rPr>
        <w:rFonts w:hint="eastAsia"/>
      </w:rPr>
    </w:lvl>
    <w:lvl w:ilvl="2" w:tentative="0">
      <w:start w:val="1"/>
      <w:numFmt w:val="decimal"/>
      <w:lvlText w:val="%1.%2.%3"/>
      <w:lvlJc w:val="left"/>
      <w:pPr>
        <w:ind w:left="425" w:firstLine="0"/>
      </w:pPr>
      <w:rPr>
        <w:rFonts w:hint="eastAsia"/>
      </w:rPr>
    </w:lvl>
    <w:lvl w:ilvl="3" w:tentative="0">
      <w:start w:val="1"/>
      <w:numFmt w:val="decimal"/>
      <w:lvlText w:val="%1.%2.%3.%4"/>
      <w:lvlJc w:val="left"/>
      <w:pPr>
        <w:ind w:left="425" w:firstLine="0"/>
      </w:pPr>
      <w:rPr>
        <w:rFonts w:hint="eastAsia"/>
      </w:rPr>
    </w:lvl>
    <w:lvl w:ilvl="4" w:tentative="0">
      <w:start w:val="1"/>
      <w:numFmt w:val="decimal"/>
      <w:lvlText w:val="%1.%2.%3.%4.%5"/>
      <w:lvlJc w:val="left"/>
      <w:pPr>
        <w:ind w:left="2125" w:hanging="425"/>
      </w:pPr>
      <w:rPr>
        <w:rFonts w:hint="eastAsia"/>
      </w:rPr>
    </w:lvl>
    <w:lvl w:ilvl="5" w:tentative="0">
      <w:start w:val="1"/>
      <w:numFmt w:val="decimal"/>
      <w:lvlText w:val="%1.%2.%3.%4.%5.%6"/>
      <w:lvlJc w:val="left"/>
      <w:pPr>
        <w:ind w:left="2550" w:hanging="425"/>
      </w:pPr>
      <w:rPr>
        <w:rFonts w:hint="eastAsia"/>
      </w:rPr>
    </w:lvl>
    <w:lvl w:ilvl="6" w:tentative="0">
      <w:start w:val="1"/>
      <w:numFmt w:val="decimal"/>
      <w:lvlText w:val="%1.%2.%3.%4.%5.%6.%7"/>
      <w:lvlJc w:val="left"/>
      <w:pPr>
        <w:ind w:left="2975" w:hanging="425"/>
      </w:pPr>
      <w:rPr>
        <w:rFonts w:hint="eastAsia"/>
      </w:rPr>
    </w:lvl>
    <w:lvl w:ilvl="7" w:tentative="0">
      <w:start w:val="1"/>
      <w:numFmt w:val="decimal"/>
      <w:lvlText w:val="%1.%2.%3.%4.%5.%6.%7.%8"/>
      <w:lvlJc w:val="left"/>
      <w:pPr>
        <w:ind w:left="3400" w:hanging="425"/>
      </w:pPr>
      <w:rPr>
        <w:rFonts w:hint="eastAsia"/>
      </w:rPr>
    </w:lvl>
    <w:lvl w:ilvl="8" w:tentative="0">
      <w:start w:val="1"/>
      <w:numFmt w:val="decimal"/>
      <w:lvlText w:val="%1.%2.%3.%4.%5.%6.%7.%8.%9"/>
      <w:lvlJc w:val="left"/>
      <w:pPr>
        <w:ind w:left="3825" w:hanging="425"/>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hODhiOGNiNTE3M2NmMTMwMGQxYWVjYWUxMDQyYTkifQ=="/>
  </w:docVars>
  <w:rsids>
    <w:rsidRoot w:val="00000000"/>
    <w:rsid w:val="04266F3A"/>
    <w:rsid w:val="0CDB212F"/>
    <w:rsid w:val="1A58610F"/>
    <w:rsid w:val="1ADC289C"/>
    <w:rsid w:val="2BFE7B0C"/>
    <w:rsid w:val="2CB27900"/>
    <w:rsid w:val="2D150CAA"/>
    <w:rsid w:val="30FF0C3A"/>
    <w:rsid w:val="31D5422A"/>
    <w:rsid w:val="44606873"/>
    <w:rsid w:val="446A6F93"/>
    <w:rsid w:val="4E42648D"/>
    <w:rsid w:val="55945546"/>
    <w:rsid w:val="59742A3C"/>
    <w:rsid w:val="5A6E2809"/>
    <w:rsid w:val="61383ED4"/>
    <w:rsid w:val="62D578C9"/>
    <w:rsid w:val="62F30D61"/>
    <w:rsid w:val="655F3933"/>
    <w:rsid w:val="75D572A1"/>
    <w:rsid w:val="79183C14"/>
    <w:rsid w:val="7E051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3"/>
    <w:qFormat/>
    <w:uiPriority w:val="9"/>
    <w:pPr>
      <w:adjustRightInd w:val="0"/>
      <w:snapToGrid w:val="0"/>
      <w:spacing w:before="312" w:beforeLines="100" w:line="360" w:lineRule="auto"/>
      <w:outlineLvl w:val="0"/>
    </w:pPr>
    <w:rPr>
      <w:rFonts w:cs="Times New Roman" w:asciiTheme="minorEastAsia" w:hAnsiTheme="minorEastAsia"/>
      <w:b/>
      <w:sz w:val="28"/>
      <w:szCs w:val="28"/>
    </w:rPr>
  </w:style>
  <w:style w:type="paragraph" w:styleId="4">
    <w:name w:val="heading 2"/>
    <w:basedOn w:val="3"/>
    <w:next w:val="1"/>
    <w:unhideWhenUsed/>
    <w:qFormat/>
    <w:uiPriority w:val="9"/>
    <w:pPr>
      <w:outlineLvl w:val="1"/>
    </w:pPr>
    <w:rPr>
      <w:rFonts w:cstheme="majorBidi"/>
    </w:rPr>
  </w:style>
  <w:style w:type="character" w:default="1" w:styleId="12">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3">
    <w:name w:val="正文中文"/>
    <w:basedOn w:val="1"/>
    <w:qFormat/>
    <w:uiPriority w:val="0"/>
    <w:pPr>
      <w:spacing w:line="360" w:lineRule="auto"/>
      <w:ind w:firstLine="480" w:firstLineChars="200"/>
    </w:pPr>
    <w:rPr>
      <w:rFonts w:cs="Times New Roman" w:asciiTheme="minorEastAsia" w:hAnsiTheme="minorEastAsia"/>
      <w:sz w:val="24"/>
      <w:szCs w:val="24"/>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style>
  <w:style w:type="paragraph" w:styleId="8">
    <w:name w:val="toc 2"/>
    <w:basedOn w:val="1"/>
    <w:next w:val="1"/>
    <w:unhideWhenUsed/>
    <w:qFormat/>
    <w:uiPriority w:val="39"/>
    <w:pPr>
      <w:ind w:left="420" w:leftChars="200"/>
    </w:pPr>
  </w:style>
  <w:style w:type="paragraph" w:styleId="9">
    <w:name w:val="Title"/>
    <w:basedOn w:val="1"/>
    <w:next w:val="1"/>
    <w:qFormat/>
    <w:uiPriority w:val="10"/>
    <w:pPr>
      <w:spacing w:before="312" w:beforeLines="100"/>
      <w:jc w:val="center"/>
    </w:pPr>
    <w:rPr>
      <w:rFonts w:eastAsia="黑体"/>
      <w:b/>
      <w:sz w:val="30"/>
      <w:szCs w:val="30"/>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basedOn w:val="12"/>
    <w:unhideWhenUsed/>
    <w:qFormat/>
    <w:uiPriority w:val="99"/>
    <w:rPr>
      <w:color w:val="0026E5" w:themeColor="hyperlink"/>
      <w:u w:val="single"/>
      <w14:textFill>
        <w14:solidFill>
          <w14:schemeClr w14:val="hlink"/>
        </w14:solidFill>
      </w14:textFill>
    </w:rPr>
  </w:style>
  <w:style w:type="paragraph" w:customStyle="1" w:styleId="14">
    <w:name w:val="TOC Heading"/>
    <w:basedOn w:val="2"/>
    <w:next w:val="1"/>
    <w:unhideWhenUsed/>
    <w:qFormat/>
    <w:uiPriority w:val="39"/>
    <w:pPr>
      <w:keepNext/>
      <w:keepLines/>
      <w:widowControl/>
      <w:adjustRightInd/>
      <w:snapToGrid/>
      <w:spacing w:before="240" w:beforeLines="0" w:line="259" w:lineRule="auto"/>
      <w:jc w:val="left"/>
      <w:outlineLvl w:val="9"/>
    </w:pPr>
    <w:rPr>
      <w:rFonts w:asciiTheme="majorHAnsi" w:hAnsiTheme="majorHAnsi" w:eastAsiaTheme="majorEastAsia" w:cstheme="majorBidi"/>
      <w:b w:val="0"/>
      <w:color w:val="2E54A1" w:themeColor="accent1" w:themeShade="BF"/>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2024-10-09T07:57:00Z</dcterms:created>
  <dc:creator>HW</dc:creator>
  <cp:lastModifiedBy>HW</cp:lastModifiedBy>
  <dcterms:modified xsi:type="dcterms:W3CDTF">2024-10-21T08:18:09Z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835BB52D13854513A012EE45470EE80A_12</vt:lpwstr>
  </property>
</Properties>
</file>